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iq-mark-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0"/>
        <w:jc w:val="center"/>
      </w:pPr>
      <w:r>
        <w:rPr>
          <w:rFonts w:ascii="Aptos" w:hAnsi="Aptos" w:eastAsia="Aptos"/>
          <w:b/>
          <w:i w:val="0"/>
          <w:color w:val="00533F"/>
          <w:sz w:val="38"/>
        </w:rPr>
        <w:t>STAFFIQ</w:t>
      </w:r>
    </w:p>
    <w:p>
      <w:pPr>
        <w:spacing w:after="200"/>
        <w:jc w:val="center"/>
      </w:pPr>
      <w:r>
        <w:rPr>
          <w:rFonts w:ascii="Aptos" w:hAnsi="Aptos" w:eastAsia="Aptos"/>
          <w:b/>
          <w:i w:val="0"/>
          <w:color w:val="11233B"/>
          <w:sz w:val="62"/>
        </w:rPr>
        <w:t>AI, IDE Access and</w:t>
        <w:br/>
        <w:t>Secret Protection Report</w:t>
      </w:r>
    </w:p>
    <w:p>
      <w:pPr>
        <w:spacing w:after="560"/>
        <w:jc w:val="center"/>
      </w:pPr>
      <w:r>
        <w:rPr>
          <w:rFonts w:ascii="Aptos" w:hAnsi="Aptos" w:eastAsia="Aptos"/>
          <w:b w:val="0"/>
          <w:i w:val="0"/>
          <w:color w:val="5B6770"/>
          <w:sz w:val="24"/>
        </w:rPr>
        <w:t>A practical comparison of what StaffiQ already protects, what remains exposed and what can be implemented next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</w:tblGrid>
      <w:tr>
        <w:tc>
          <w:tcPr>
            <w:tcW w:type="dxa" w:w="9866"/>
            <w:shd w:fill="EAF6F1"/>
            <w:tcBorders>
              <w:top w:val="single" w:sz="14" w:color="00533F"/>
              <w:left w:val="single" w:sz="14" w:color="00533F"/>
              <w:bottom w:val="single" w:sz="14" w:color="00533F"/>
              <w:right w:val="single" w:sz="14" w:color="00533F"/>
            </w:tcBorders>
            <w:tcMar>
              <w:top w:w="280" w:type="dxa"/>
              <w:start w:w="220" w:type="dxa"/>
              <w:bottom w:w="280" w:type="dxa"/>
              <w:end w:w="220" w:type="dxa"/>
            </w:tcMar>
          </w:tcPr>
          <w:p>
            <w:pPr>
              <w:jc w:val="center"/>
            </w:pPr>
            <w:r>
              <w:rPr>
                <w:rFonts w:ascii="Segoe UI Emoji" w:hAnsi="Segoe UI Emoji" w:eastAsia="Segoe UI Emoji"/>
                <w:b/>
                <w:i w:val="0"/>
                <w:color w:val="00533F"/>
                <w:sz w:val="20"/>
              </w:rPr>
              <w:t>🔐  EXECUTIVE DECISION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1233B"/>
                <w:sz w:val="26"/>
              </w:rPr>
              <w:t>Give approved AI models and IDEs broad project access, but keep every secret unavailable unless Ayodeji grants specific, temporary access.</w:t>
            </w:r>
          </w:p>
        </w:tc>
      </w:tr>
    </w:tbl>
    <w:p/>
    <w:p>
      <w:pPr>
        <w:jc w:val="center"/>
      </w:pPr>
      <w:r>
        <w:rPr>
          <w:rFonts w:ascii="Aptos" w:hAnsi="Aptos" w:eastAsia="Aptos"/>
          <w:b w:val="0"/>
          <w:i w:val="0"/>
          <w:color w:val="5B6770"/>
          <w:sz w:val="18"/>
        </w:rPr>
        <w:t>Prepared for</w:t>
      </w:r>
    </w:p>
    <w:p>
      <w:pPr>
        <w:jc w:val="center"/>
      </w:pPr>
      <w:r>
        <w:rPr>
          <w:rFonts w:ascii="Aptos" w:hAnsi="Aptos" w:eastAsia="Aptos"/>
          <w:b/>
          <w:i w:val="0"/>
          <w:color w:val="00533F"/>
          <w:sz w:val="26"/>
        </w:rPr>
        <w:t>Ayodeji Peter Falope</w:t>
      </w:r>
    </w:p>
    <w:p>
      <w:pPr>
        <w:jc w:val="center"/>
      </w:pPr>
      <w:r>
        <w:rPr>
          <w:rFonts w:ascii="Aptos" w:hAnsi="Aptos" w:eastAsia="Aptos"/>
          <w:b w:val="0"/>
          <w:i w:val="0"/>
          <w:color w:val="5B6770"/>
          <w:sz w:val="19"/>
        </w:rPr>
        <w:t>19 July 2026  •  Lagos, Nigeria</w:t>
      </w:r>
    </w:p>
    <w:p>
      <w:pPr>
        <w:spacing w:before="360"/>
        <w:jc w:val="center"/>
      </w:pPr>
      <w:r>
        <w:rPr>
          <w:rFonts w:ascii="Segoe UI Emoji" w:hAnsi="Segoe UI Emoji" w:eastAsia="Segoe UI Emoji"/>
          <w:b/>
          <w:i w:val="0"/>
          <w:color w:val="C62828"/>
          <w:sz w:val="18"/>
        </w:rPr>
        <w:t>🚨 Confidential: contains security findings, but no secret values</w:t>
      </w:r>
    </w:p>
    <w:p>
      <w:r>
        <w:br w:type="page"/>
      </w:r>
    </w:p>
    <w:p>
      <w:pPr>
        <w:spacing w:before="160" w:after="40"/>
      </w:pPr>
      <w:r>
        <w:rPr>
          <w:rFonts w:ascii="Aptos" w:hAnsi="Aptos" w:eastAsia="Aptos"/>
          <w:b/>
          <w:i w:val="0"/>
          <w:color w:val="00533F"/>
          <w:sz w:val="17"/>
        </w:rPr>
        <w:t>EXECUTIVE SUMMARY</w:t>
      </w:r>
    </w:p>
    <w:p>
      <w:pPr>
        <w:spacing w:after="120"/>
      </w:pPr>
      <w:r>
        <w:rPr>
          <w:rFonts w:ascii="Aptos" w:hAnsi="Aptos" w:eastAsia="Aptos"/>
          <w:b/>
          <w:i w:val="0"/>
          <w:color w:val="11233B"/>
          <w:sz w:val="46"/>
        </w:rPr>
        <w:t>The answer in plain English</w:t>
      </w:r>
    </w:p>
    <w:p>
      <w:pPr>
        <w:spacing w:after="200"/>
      </w:pPr>
      <w:r>
        <w:rPr>
          <w:rFonts w:ascii="Aptos" w:hAnsi="Aptos" w:eastAsia="Aptos"/>
          <w:b w:val="0"/>
          <w:i w:val="0"/>
          <w:color w:val="5B6770"/>
          <w:sz w:val="21"/>
        </w:rPr>
        <w:t>The existing tenant foundation is strong, but development tool access and secret protection are not yet governed as one complete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8787"/>
      </w:tblGrid>
      <w:tr>
        <w:tc>
          <w:tcPr>
            <w:tcW w:type="dxa" w:w="4933"/>
            <w:shd w:fill="EAF6F1"/>
            <w:tcBorders>
              <w:top w:val="single" w:sz="10" w:color="00533F"/>
              <w:left w:val="single" w:sz="10" w:color="00533F"/>
              <w:bottom w:val="single" w:sz="10" w:color="00533F"/>
              <w:right w:val="single" w:sz="10" w:color="00533F"/>
            </w:tcBorders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18212A"/>
                <w:sz w:val="40"/>
              </w:rPr>
              <w:t>✅</w:t>
            </w:r>
          </w:p>
        </w:tc>
        <w:tc>
          <w:tcPr>
            <w:tcW w:type="dxa" w:w="4933"/>
            <w:shd w:fill="EAF6F1"/>
            <w:tcBorders>
              <w:top w:val="single" w:sz="10" w:color="00533F"/>
              <w:left w:val="single" w:sz="10" w:color="00533F"/>
              <w:bottom w:val="single" w:sz="10" w:color="00533F"/>
              <w:right w:val="single" w:sz="10" w:color="00533F"/>
            </w:tcBorders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1233B"/>
                <w:sz w:val="22"/>
              </w:rPr>
              <w:t>What already works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8212A"/>
                <w:sz w:val="19"/>
              </w:rPr>
              <w:t>Tenant isolation, permanent user records, signed tenant sessions, direct database denial and continuity verification are implemented and working.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8787"/>
      </w:tblGrid>
      <w:tr>
        <w:tc>
          <w:tcPr>
            <w:tcW w:type="dxa" w:w="4933"/>
            <w:shd w:fill="FFF4DF"/>
            <w:tcBorders>
              <w:top w:val="single" w:sz="10" w:color="F59E0B"/>
              <w:left w:val="single" w:sz="10" w:color="F59E0B"/>
              <w:bottom w:val="single" w:sz="10" w:color="F59E0B"/>
              <w:right w:val="single" w:sz="10" w:color="F59E0B"/>
            </w:tcBorders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18212A"/>
                <w:sz w:val="40"/>
              </w:rPr>
              <w:t>⚠️</w:t>
            </w:r>
          </w:p>
        </w:tc>
        <w:tc>
          <w:tcPr>
            <w:tcW w:type="dxa" w:w="4933"/>
            <w:shd w:fill="FFF4DF"/>
            <w:tcBorders>
              <w:top w:val="single" w:sz="10" w:color="F59E0B"/>
              <w:left w:val="single" w:sz="10" w:color="F59E0B"/>
              <w:bottom w:val="single" w:sz="10" w:color="F59E0B"/>
              <w:right w:val="single" w:sz="10" w:color="F59E0B"/>
            </w:tcBorders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1233B"/>
                <w:sz w:val="22"/>
              </w:rPr>
              <w:t>What is only partly protected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8212A"/>
                <w:sz w:val="19"/>
              </w:rPr>
              <w:t>Git ignore rules and Firebase Secret Manager reduce accidental exposure, but they do not stop an unrestricted AI tool or IDE from reading a local secret file.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8787"/>
      </w:tblGrid>
      <w:tr>
        <w:tc>
          <w:tcPr>
            <w:tcW w:type="dxa" w:w="4933"/>
            <w:shd w:fill="FDECEC"/>
            <w:tcBorders>
              <w:top w:val="single" w:sz="10" w:color="C62828"/>
              <w:left w:val="single" w:sz="10" w:color="C62828"/>
              <w:bottom w:val="single" w:sz="10" w:color="C62828"/>
              <w:right w:val="single" w:sz="10" w:color="C62828"/>
            </w:tcBorders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18212A"/>
                <w:sz w:val="40"/>
              </w:rPr>
              <w:t>🚨</w:t>
            </w:r>
          </w:p>
        </w:tc>
        <w:tc>
          <w:tcPr>
            <w:tcW w:type="dxa" w:w="4933"/>
            <w:shd w:fill="FDECEC"/>
            <w:tcBorders>
              <w:top w:val="single" w:sz="10" w:color="C62828"/>
              <w:left w:val="single" w:sz="10" w:color="C62828"/>
              <w:bottom w:val="single" w:sz="10" w:color="C62828"/>
              <w:right w:val="single" w:sz="10" w:color="C62828"/>
            </w:tcBorders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1233B"/>
                <w:sz w:val="22"/>
              </w:rPr>
              <w:t>What requires immediate repair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8212A"/>
                <w:sz w:val="19"/>
              </w:rPr>
              <w:t>Current password handling retains readable credentials, and recently added AI administration endpoints trust caller supplied identity headers. Those two weaknesses must be corrected before broad model access is considered secure.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AF6F1"/>
            <w:tcBorders>
              <w:top w:val="single" w:sz="8" w:color="00533F"/>
              <w:left w:val="single" w:sz="8" w:color="00533F"/>
              <w:bottom w:val="single" w:sz="8" w:color="00533F"/>
              <w:right w:val="single" w:sz="8" w:color="00533F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18212A"/>
                <w:sz w:val="30"/>
              </w:rPr>
              <w:t>✅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00533F"/>
                <w:sz w:val="40"/>
              </w:rPr>
              <w:t>6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Complete controls</w:t>
            </w:r>
          </w:p>
        </w:tc>
        <w:tc>
          <w:tcPr>
            <w:tcW w:type="dxa" w:w="2466"/>
            <w:shd w:fill="FFF4DF"/>
            <w:tcBorders>
              <w:top w:val="single" w:sz="8" w:color="F59E0B"/>
              <w:left w:val="single" w:sz="8" w:color="F59E0B"/>
              <w:bottom w:val="single" w:sz="8" w:color="F59E0B"/>
              <w:right w:val="single" w:sz="8" w:color="F59E0B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18212A"/>
                <w:sz w:val="30"/>
              </w:rPr>
              <w:t>🟡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59E0B"/>
                <w:sz w:val="40"/>
              </w:rPr>
              <w:t>5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Partial foundations</w:t>
            </w:r>
          </w:p>
        </w:tc>
        <w:tc>
          <w:tcPr>
            <w:tcW w:type="dxa" w:w="2466"/>
            <w:shd w:fill="EAF1FF"/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18212A"/>
                <w:sz w:val="30"/>
              </w:rPr>
              <w:t>⬜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2563EB"/>
                <w:sz w:val="40"/>
              </w:rPr>
              <w:t>10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Outstanding controls</w:t>
            </w:r>
          </w:p>
        </w:tc>
        <w:tc>
          <w:tcPr>
            <w:tcW w:type="dxa" w:w="2466"/>
            <w:shd w:fill="FDECEC"/>
            <w:tcBorders>
              <w:top w:val="single" w:sz="8" w:color="C62828"/>
              <w:left w:val="single" w:sz="8" w:color="C62828"/>
              <w:bottom w:val="single" w:sz="8" w:color="C62828"/>
              <w:right w:val="single" w:sz="8" w:color="C62828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18212A"/>
                <w:sz w:val="30"/>
              </w:rPr>
              <w:t>⛔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C62828"/>
                <w:sz w:val="40"/>
              </w:rPr>
              <w:t>1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Rejected approach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b/>
          <w:i w:val="0"/>
          <w:color w:val="11233B"/>
          <w:sz w:val="26"/>
        </w:rPr>
        <w:t>Straight answer</w:t>
      </w:r>
    </w:p>
    <w:p>
      <w:pPr>
        <w:pStyle w:val="ExecutiveBullet"/>
      </w:pPr>
      <w:r>
        <w:rPr>
          <w:rFonts w:ascii="Aptos" w:hAnsi="Aptos" w:eastAsia="Aptos"/>
          <w:b/>
          <w:i w:val="0"/>
          <w:color w:val="00533F"/>
          <w:sz w:val="20"/>
        </w:rPr>
        <w:t xml:space="preserve">• Full source access: </w:t>
      </w:r>
      <w:r>
        <w:rPr>
          <w:rFonts w:ascii="Aptos" w:hAnsi="Aptos" w:eastAsia="Aptos"/>
          <w:b w:val="0"/>
          <w:i w:val="0"/>
          <w:color w:val="18212A"/>
          <w:sz w:val="20"/>
        </w:rPr>
        <w:t>Yes. Approved AI models and IDEs may work across code, documentation, tests and ordinary configuration.</w:t>
      </w:r>
    </w:p>
    <w:p>
      <w:pPr>
        <w:pStyle w:val="ExecutiveBullet"/>
      </w:pPr>
      <w:r>
        <w:rPr>
          <w:rFonts w:ascii="Aptos" w:hAnsi="Aptos" w:eastAsia="Aptos"/>
          <w:b/>
          <w:i w:val="0"/>
          <w:color w:val="C62828"/>
          <w:sz w:val="20"/>
        </w:rPr>
        <w:t xml:space="preserve">• Default secret access: </w:t>
      </w:r>
      <w:r>
        <w:rPr>
          <w:rFonts w:ascii="Aptos" w:hAnsi="Aptos" w:eastAsia="Aptos"/>
          <w:b w:val="0"/>
          <w:i w:val="0"/>
          <w:color w:val="18212A"/>
          <w:sz w:val="20"/>
        </w:rPr>
        <w:t>No. Secret values should remain outside the repository and outside the normal tool identity.</w:t>
      </w:r>
    </w:p>
    <w:p>
      <w:pPr>
        <w:pStyle w:val="ExecutiveBullet"/>
      </w:pPr>
      <w:r>
        <w:rPr>
          <w:rFonts w:ascii="Aptos" w:hAnsi="Aptos" w:eastAsia="Aptos"/>
          <w:b/>
          <w:i w:val="0"/>
          <w:color w:val="F59E0B"/>
          <w:sz w:val="20"/>
        </w:rPr>
        <w:t xml:space="preserve">• Express secret access: </w:t>
      </w:r>
      <w:r>
        <w:rPr>
          <w:rFonts w:ascii="Aptos" w:hAnsi="Aptos" w:eastAsia="Aptos"/>
          <w:b w:val="0"/>
          <w:i w:val="0"/>
          <w:color w:val="18212A"/>
          <w:sz w:val="20"/>
        </w:rPr>
        <w:t>Yes, but only through an approval request naming the secret, purpose and expiry time.</w:t>
      </w:r>
    </w:p>
    <w:p>
      <w:pPr>
        <w:pStyle w:val="ExecutiveBullet"/>
      </w:pPr>
      <w:r>
        <w:rPr>
          <w:rFonts w:ascii="Aptos" w:hAnsi="Aptos" w:eastAsia="Aptos"/>
          <w:b/>
          <w:i w:val="0"/>
          <w:color w:val="C62828"/>
          <w:sz w:val="20"/>
        </w:rPr>
        <w:t xml:space="preserve">• Shared passwords across platforms: </w:t>
      </w:r>
      <w:r>
        <w:rPr>
          <w:rFonts w:ascii="Aptos" w:hAnsi="Aptos" w:eastAsia="Aptos"/>
          <w:b w:val="0"/>
          <w:i w:val="0"/>
          <w:color w:val="18212A"/>
          <w:sz w:val="20"/>
        </w:rPr>
        <w:t>No. Use single sign on instead. Shared password reuse creates one point of total compromise.</w:t>
      </w:r>
    </w:p>
    <w:p>
      <w:r>
        <w:br w:type="page"/>
      </w:r>
    </w:p>
    <w:p>
      <w:pPr>
        <w:spacing w:before="160" w:after="40"/>
      </w:pPr>
      <w:r>
        <w:rPr>
          <w:rFonts w:ascii="Aptos" w:hAnsi="Aptos" w:eastAsia="Aptos"/>
          <w:b/>
          <w:i w:val="0"/>
          <w:color w:val="00533F"/>
          <w:sz w:val="17"/>
        </w:rPr>
        <w:t>RECOMMENDED OPERATING MODEL</w:t>
      </w:r>
    </w:p>
    <w:p>
      <w:pPr>
        <w:spacing w:after="120"/>
      </w:pPr>
      <w:r>
        <w:rPr>
          <w:rFonts w:ascii="Aptos" w:hAnsi="Aptos" w:eastAsia="Aptos"/>
          <w:b/>
          <w:i w:val="0"/>
          <w:color w:val="11233B"/>
          <w:sz w:val="46"/>
        </w:rPr>
        <w:t>Broad working access without secret exposure</w:t>
      </w:r>
    </w:p>
    <w:p>
      <w:pPr>
        <w:spacing w:after="200"/>
      </w:pPr>
      <w:r>
        <w:rPr>
          <w:rFonts w:ascii="Aptos" w:hAnsi="Aptos" w:eastAsia="Aptos"/>
          <w:b w:val="0"/>
          <w:i w:val="0"/>
          <w:color w:val="5B6770"/>
          <w:sz w:val="21"/>
        </w:rPr>
        <w:t>This is the practical design that matches your instruction and remains safe enough for a serious production application.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54"/>
        <w:gridCol w:w="1587"/>
        <w:gridCol w:w="454"/>
        <w:gridCol w:w="1587"/>
        <w:gridCol w:w="454"/>
        <w:gridCol w:w="1587"/>
      </w:tblGrid>
      <w:tr>
        <w:tc>
          <w:tcPr>
            <w:tcW w:type="dxa" w:w="1409"/>
            <w:shd w:fill="EAF1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18212A"/>
                <w:sz w:val="36"/>
              </w:rPr>
              <w:t>🤖💻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1233B"/>
                <w:sz w:val="18"/>
              </w:rPr>
              <w:t>AI models and IDEs</w:t>
            </w:r>
          </w:p>
        </w:tc>
        <w:tc>
          <w:tcPr>
            <w:tcW w:type="dxa" w:w="1409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00533F"/>
                <w:sz w:val="36"/>
              </w:rPr>
              <w:t>→</w:t>
            </w:r>
          </w:p>
        </w:tc>
        <w:tc>
          <w:tcPr>
            <w:tcW w:type="dxa" w:w="1409"/>
            <w:shd w:fill="EAF6F1"/>
            <w:tcBorders>
              <w:top w:val="single" w:sz="10" w:color="00533F"/>
              <w:left w:val="single" w:sz="10" w:color="00533F"/>
              <w:bottom w:val="single" w:sz="10" w:color="00533F"/>
              <w:right w:val="single" w:sz="10" w:color="00533F"/>
            </w:tcBorders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18212A"/>
                <w:sz w:val="36"/>
              </w:rPr>
              <w:t>🛡️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1233B"/>
                <w:sz w:val="18"/>
              </w:rPr>
              <w:t>Access gateway</w:t>
            </w:r>
          </w:p>
        </w:tc>
        <w:tc>
          <w:tcPr>
            <w:tcW w:type="dxa" w:w="1409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00533F"/>
                <w:sz w:val="36"/>
              </w:rPr>
              <w:t>→</w:t>
            </w:r>
          </w:p>
        </w:tc>
        <w:tc>
          <w:tcPr>
            <w:tcW w:type="dxa" w:w="1409"/>
            <w:shd w:fill="F4F9DE"/>
            <w:tcBorders>
              <w:top w:val="single" w:sz="10" w:color="00533F"/>
              <w:left w:val="single" w:sz="10" w:color="00533F"/>
              <w:bottom w:val="single" w:sz="10" w:color="00533F"/>
              <w:right w:val="single" w:sz="10" w:color="00533F"/>
            </w:tcBorders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18212A"/>
                <w:sz w:val="36"/>
              </w:rPr>
              <w:t>📁🧪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1233B"/>
                <w:sz w:val="18"/>
              </w:rPr>
              <w:t>Code, tests and documents</w:t>
            </w:r>
          </w:p>
        </w:tc>
        <w:tc>
          <w:tcPr>
            <w:tcW w:type="dxa" w:w="1409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00533F"/>
                <w:sz w:val="36"/>
              </w:rPr>
              <w:t>→</w:t>
            </w:r>
          </w:p>
        </w:tc>
        <w:tc>
          <w:tcPr>
            <w:tcW w:type="dxa" w:w="1409"/>
            <w:shd w:fill="FFF4DF"/>
            <w:tcBorders>
              <w:top w:val="single" w:sz="10" w:color="F59E0B"/>
              <w:left w:val="single" w:sz="10" w:color="F59E0B"/>
              <w:bottom w:val="single" w:sz="10" w:color="F59E0B"/>
              <w:right w:val="single" w:sz="10" w:color="F59E0B"/>
            </w:tcBorders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18212A"/>
                <w:sz w:val="36"/>
              </w:rPr>
              <w:t>🚀📊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1233B"/>
                <w:sz w:val="18"/>
              </w:rPr>
              <w:t>Builds, deploys and audit</w:t>
            </w:r>
          </w:p>
        </w:tc>
      </w:tr>
      <w:tr>
        <w:tc>
          <w:tcPr>
            <w:tcW w:type="dxa" w:w="9863"/>
            <w:gridSpan w:val="7"/>
            <w:shd w:fill="FDECEC"/>
            <w:tcBorders>
              <w:top w:val="single" w:sz="10" w:color="C62828"/>
              <w:left w:val="single" w:sz="10" w:color="C62828"/>
              <w:bottom w:val="single" w:sz="10" w:color="C62828"/>
              <w:right w:val="single" w:sz="10" w:color="C62828"/>
            </w:tcBorders>
            <w:tcMar>
              <w:top w:w="180" w:type="dxa"/>
              <w:start w:w="140" w:type="dxa"/>
              <w:bottom w:w="180" w:type="dxa"/>
              <w:end w:w="140" w:type="dxa"/>
            </w:tcMar>
          </w:tcPr>
          <w:p>
            <w:pPr>
              <w:jc w:val="center"/>
            </w:pPr>
            <w:r>
              <w:rPr>
                <w:rFonts w:ascii="Segoe UI Emoji" w:hAnsi="Segoe UI Emoji" w:eastAsia="Segoe UI Emoji"/>
                <w:b/>
                <w:i w:val="0"/>
                <w:color w:val="C62828"/>
                <w:sz w:val="20"/>
              </w:rPr>
              <w:t>🔐 SECRET LANE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1233B"/>
                <w:sz w:val="20"/>
              </w:rPr>
              <w:t>Secret request  →  Ayodeji approval  →  temporary delivery  →  automatic expiry  →  audit record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00533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Rule</w:t>
            </w:r>
          </w:p>
        </w:tc>
        <w:tc>
          <w:tcPr>
            <w:tcW w:type="dxa" w:w="3289"/>
            <w:shd w:fill="00533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289"/>
            <w:shd w:fill="00533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Practical meaning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8"/>
              </w:rPr>
              <w:t>1</w:t>
            </w:r>
          </w:p>
        </w:tc>
        <w:tc>
          <w:tcPr>
            <w:tcW w:type="dxa" w:w="32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8"/>
              </w:rPr>
              <w:t>Default allow</w:t>
            </w:r>
          </w:p>
        </w:tc>
        <w:tc>
          <w:tcPr>
            <w:tcW w:type="dxa" w:w="32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8"/>
              </w:rPr>
              <w:t>Approved tools may read and write ordinary project files.</w:t>
            </w:r>
          </w:p>
        </w:tc>
      </w:tr>
      <w:tr>
        <w:trPr>
          <w:cantSplit/>
        </w:trPr>
        <w:tc>
          <w:tcPr>
            <w:tcW w:type="dxa" w:w="3289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8"/>
              </w:rPr>
              <w:t>2</w:t>
            </w:r>
          </w:p>
        </w:tc>
        <w:tc>
          <w:tcPr>
            <w:tcW w:type="dxa" w:w="3289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8"/>
              </w:rPr>
              <w:t>Default deny</w:t>
            </w:r>
          </w:p>
        </w:tc>
        <w:tc>
          <w:tcPr>
            <w:tcW w:type="dxa" w:w="3289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8"/>
              </w:rPr>
              <w:t>Secrets, private keys, passwords and service credentials are excluded.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8"/>
              </w:rPr>
              <w:t>3</w:t>
            </w:r>
          </w:p>
        </w:tc>
        <w:tc>
          <w:tcPr>
            <w:tcW w:type="dxa" w:w="32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8"/>
              </w:rPr>
              <w:t>Explicit exception</w:t>
            </w:r>
          </w:p>
        </w:tc>
        <w:tc>
          <w:tcPr>
            <w:tcW w:type="dxa" w:w="32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8"/>
              </w:rPr>
              <w:t>Only Ayodeji may approve temporary access to a named secret.</w:t>
            </w:r>
          </w:p>
        </w:tc>
      </w:tr>
      <w:tr>
        <w:trPr>
          <w:cantSplit/>
        </w:trPr>
        <w:tc>
          <w:tcPr>
            <w:tcW w:type="dxa" w:w="3289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8"/>
              </w:rPr>
              <w:t>4</w:t>
            </w:r>
          </w:p>
        </w:tc>
        <w:tc>
          <w:tcPr>
            <w:tcW w:type="dxa" w:w="3289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8"/>
              </w:rPr>
              <w:t>Evidence</w:t>
            </w:r>
          </w:p>
        </w:tc>
        <w:tc>
          <w:tcPr>
            <w:tcW w:type="dxa" w:w="3289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8"/>
              </w:rPr>
              <w:t>Every access, change, build, deployment and secret request is recorded.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8"/>
              </w:rPr>
              <w:t>5</w:t>
            </w:r>
          </w:p>
        </w:tc>
        <w:tc>
          <w:tcPr>
            <w:tcW w:type="dxa" w:w="32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8"/>
              </w:rPr>
              <w:t>Fast recovery</w:t>
            </w:r>
          </w:p>
        </w:tc>
        <w:tc>
          <w:tcPr>
            <w:tcW w:type="dxa" w:w="32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8"/>
              </w:rPr>
              <w:t>Every production change has a tested rollback position.</w:t>
            </w:r>
          </w:p>
        </w:tc>
      </w:tr>
    </w:tbl>
    <w:p>
      <w:r>
        <w:br w:type="page"/>
      </w:r>
    </w:p>
    <w:p>
      <w:pPr>
        <w:sectPr>
          <w:headerReference w:type="default" r:id="rId9"/>
          <w:footerReference w:type="default" r:id="rId10"/>
          <w:pgSz w:w="11906" w:h="16838"/>
          <w:pgMar w:top="907" w:right="1020" w:bottom="850" w:left="1020" w:header="720" w:footer="720" w:gutter="0"/>
          <w:cols w:space="720"/>
          <w:docGrid w:linePitch="360"/>
        </w:sectPr>
      </w:pPr>
    </w:p>
    <w:p>
      <w:pPr>
        <w:spacing w:before="160" w:after="40"/>
      </w:pPr>
      <w:r>
        <w:rPr>
          <w:rFonts w:ascii="Aptos" w:hAnsi="Aptos" w:eastAsia="Aptos"/>
          <w:b/>
          <w:i w:val="0"/>
          <w:color w:val="00533F"/>
          <w:sz w:val="17"/>
        </w:rPr>
        <w:t>CONTROL COMPARISON</w:t>
      </w:r>
    </w:p>
    <w:p>
      <w:pPr>
        <w:spacing w:after="120"/>
      </w:pPr>
      <w:r>
        <w:rPr>
          <w:rFonts w:ascii="Aptos" w:hAnsi="Aptos" w:eastAsia="Aptos"/>
          <w:b/>
          <w:i w:val="0"/>
          <w:color w:val="11233B"/>
          <w:sz w:val="46"/>
        </w:rPr>
        <w:t>What is complete, partial and outstanding</w:t>
      </w:r>
    </w:p>
    <w:p>
      <w:pPr>
        <w:spacing w:after="200"/>
      </w:pPr>
      <w:r>
        <w:rPr>
          <w:rFonts w:ascii="Aptos" w:hAnsi="Aptos" w:eastAsia="Aptos"/>
          <w:b w:val="0"/>
          <w:i w:val="0"/>
          <w:color w:val="5B6770"/>
          <w:sz w:val="21"/>
        </w:rPr>
        <w:t>Checkboxes show the present implementation position. Priority reflects the likely security or operational impact.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232"/>
        <w:gridCol w:w="4032"/>
        <w:gridCol w:w="3528"/>
        <w:gridCol w:w="1296"/>
        <w:gridCol w:w="1944"/>
      </w:tblGrid>
      <w:tr>
        <w:trPr>
          <w:tblHeader w:val="true"/>
          <w:cantSplit/>
        </w:trPr>
        <w:tc>
          <w:tcPr>
            <w:tcW w:type="dxa" w:w="648"/>
            <w:shd w:fill="003B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12" w:color="B9E600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Check</w:t>
            </w:r>
          </w:p>
        </w:tc>
        <w:tc>
          <w:tcPr>
            <w:tcW w:type="dxa" w:w="2232"/>
            <w:shd w:fill="003B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12" w:color="B9E600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Capability</w:t>
            </w:r>
          </w:p>
        </w:tc>
        <w:tc>
          <w:tcPr>
            <w:tcW w:type="dxa" w:w="4031"/>
            <w:shd w:fill="003B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12" w:color="B9E600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What it does</w:t>
            </w:r>
          </w:p>
        </w:tc>
        <w:tc>
          <w:tcPr>
            <w:tcW w:type="dxa" w:w="3528"/>
            <w:shd w:fill="003B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12" w:color="B9E600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Current position</w:t>
            </w:r>
          </w:p>
        </w:tc>
        <w:tc>
          <w:tcPr>
            <w:tcW w:type="dxa" w:w="1296"/>
            <w:shd w:fill="003B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12" w:color="B9E600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1944"/>
            <w:shd w:fill="003B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12" w:color="B9E600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Can implement</w:t>
            </w:r>
          </w:p>
        </w:tc>
      </w:tr>
      <w:tr>
        <w:trPr>
          <w:trHeight w:hRule="atLeast"/>
          <w:cantSplit/>
        </w:trPr>
        <w:tc>
          <w:tcPr>
            <w:tcW w:type="dxa" w:w="6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26"/>
              </w:rPr>
              <w:t>☑</w:t>
            </w:r>
          </w:p>
        </w:tc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Prompt improvement workflow</w:t>
            </w:r>
          </w:p>
        </w:tc>
        <w:tc>
          <w:tcPr>
            <w:tcW w:type="dxa" w:w="40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P1 clarifies and expands the request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P2 converts it into an executable specification</w:t>
            </w:r>
          </w:p>
        </w:tc>
        <w:tc>
          <w:tcPr>
            <w:tcW w:type="dxa" w:w="35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Complete and used for this assessment</w:t>
            </w:r>
          </w:p>
        </w:tc>
        <w:tc>
          <w:tcPr>
            <w:tcW w:type="dxa" w:w="129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5B6770"/>
                <w:sz w:val="16"/>
              </w:rPr>
              <w:t>ℹ Low</w:t>
            </w:r>
          </w:p>
        </w:tc>
        <w:tc>
          <w:tcPr>
            <w:tcW w:type="dxa" w:w="1944"/>
            <w:shd w:fill="EAF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>✅ Complete</w:t>
            </w:r>
          </w:p>
        </w:tc>
      </w:tr>
      <w:tr>
        <w:trPr>
          <w:trHeight w:hRule="atLeast"/>
          <w:cantSplit/>
        </w:trPr>
        <w:tc>
          <w:tcPr>
            <w:tcW w:type="dxa" w:w="648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26"/>
              </w:rPr>
              <w:t>☑</w:t>
            </w:r>
          </w:p>
        </w:tc>
        <w:tc>
          <w:tcPr>
            <w:tcW w:type="dxa" w:w="2232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Tenant isolation</w:t>
            </w:r>
          </w:p>
        </w:tc>
        <w:tc>
          <w:tcPr>
            <w:tcW w:type="dxa" w:w="4031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Separates each client workspace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Prevents cross tenant data mixing</w:t>
            </w:r>
          </w:p>
        </w:tc>
        <w:tc>
          <w:tcPr>
            <w:tcW w:type="dxa" w:w="3528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Implemented and verified</w:t>
            </w:r>
          </w:p>
        </w:tc>
        <w:tc>
          <w:tcPr>
            <w:tcW w:type="dxa" w:w="1296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C62828"/>
                <w:sz w:val="16"/>
              </w:rPr>
              <w:t>🚨 Critical</w:t>
            </w:r>
          </w:p>
        </w:tc>
        <w:tc>
          <w:tcPr>
            <w:tcW w:type="dxa" w:w="1944"/>
            <w:shd w:fill="EAF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>✅ Complete</w:t>
            </w:r>
          </w:p>
        </w:tc>
      </w:tr>
      <w:tr>
        <w:trPr>
          <w:trHeight w:hRule="atLeast"/>
          <w:cantSplit/>
        </w:trPr>
        <w:tc>
          <w:tcPr>
            <w:tcW w:type="dxa" w:w="6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26"/>
              </w:rPr>
              <w:t>☑</w:t>
            </w:r>
          </w:p>
        </w:tc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Permanent user records</w:t>
            </w:r>
          </w:p>
        </w:tc>
        <w:tc>
          <w:tcPr>
            <w:tcW w:type="dxa" w:w="40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Disables or suspends access without deleting history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Rejects deletion requests</w:t>
            </w:r>
          </w:p>
        </w:tc>
        <w:tc>
          <w:tcPr>
            <w:tcW w:type="dxa" w:w="35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Implemented in the interface and backend</w:t>
            </w:r>
          </w:p>
        </w:tc>
        <w:tc>
          <w:tcPr>
            <w:tcW w:type="dxa" w:w="1296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C62828"/>
                <w:sz w:val="16"/>
              </w:rPr>
              <w:t>🚨 Critical</w:t>
            </w:r>
          </w:p>
        </w:tc>
        <w:tc>
          <w:tcPr>
            <w:tcW w:type="dxa" w:w="1944"/>
            <w:shd w:fill="EAF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>✅ Complete</w:t>
            </w:r>
          </w:p>
        </w:tc>
      </w:tr>
      <w:tr>
        <w:trPr>
          <w:trHeight w:hRule="atLeast"/>
          <w:cantSplit/>
        </w:trPr>
        <w:tc>
          <w:tcPr>
            <w:tcW w:type="dxa" w:w="648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26"/>
              </w:rPr>
              <w:t>☑</w:t>
            </w:r>
          </w:p>
        </w:tc>
        <w:tc>
          <w:tcPr>
            <w:tcW w:type="dxa" w:w="2232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Signed tenant sessions</w:t>
            </w:r>
          </w:p>
        </w:tc>
        <w:tc>
          <w:tcPr>
            <w:tcW w:type="dxa" w:w="4031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Binds every request to a signed user and workspace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Rejects tenant substitution</w:t>
            </w:r>
          </w:p>
        </w:tc>
        <w:tc>
          <w:tcPr>
            <w:tcW w:type="dxa" w:w="3528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Implemented and verified</w:t>
            </w:r>
          </w:p>
        </w:tc>
        <w:tc>
          <w:tcPr>
            <w:tcW w:type="dxa" w:w="1296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C62828"/>
                <w:sz w:val="16"/>
              </w:rPr>
              <w:t>🚨 Critical</w:t>
            </w:r>
          </w:p>
        </w:tc>
        <w:tc>
          <w:tcPr>
            <w:tcW w:type="dxa" w:w="1944"/>
            <w:shd w:fill="EAF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>✅ Complete</w:t>
            </w:r>
          </w:p>
        </w:tc>
      </w:tr>
      <w:tr>
        <w:trPr>
          <w:trHeight w:hRule="atLeast"/>
          <w:cantSplit/>
        </w:trPr>
        <w:tc>
          <w:tcPr>
            <w:tcW w:type="dxa" w:w="6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26"/>
              </w:rPr>
              <w:t>☑</w:t>
            </w:r>
          </w:p>
        </w:tc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Direct database denial</w:t>
            </w:r>
          </w:p>
        </w:tc>
        <w:tc>
          <w:tcPr>
            <w:tcW w:type="dxa" w:w="40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Blocks browser access to Firestore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Forces protected backend checks</w:t>
            </w:r>
          </w:p>
        </w:tc>
        <w:tc>
          <w:tcPr>
            <w:tcW w:type="dxa" w:w="35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Implemented in Firestore rules</w:t>
            </w:r>
          </w:p>
        </w:tc>
        <w:tc>
          <w:tcPr>
            <w:tcW w:type="dxa" w:w="1296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C62828"/>
                <w:sz w:val="16"/>
              </w:rPr>
              <w:t>🚨 Critical</w:t>
            </w:r>
          </w:p>
        </w:tc>
        <w:tc>
          <w:tcPr>
            <w:tcW w:type="dxa" w:w="1944"/>
            <w:shd w:fill="EAF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>✅ Complete</w:t>
            </w:r>
          </w:p>
        </w:tc>
      </w:tr>
      <w:tr>
        <w:trPr>
          <w:trHeight w:hRule="atLeast"/>
          <w:cantSplit/>
        </w:trPr>
        <w:tc>
          <w:tcPr>
            <w:tcW w:type="dxa" w:w="648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2563EB"/>
                <w:sz w:val="26"/>
              </w:rPr>
              <w:t>☐</w:t>
            </w:r>
          </w:p>
        </w:tc>
        <w:tc>
          <w:tcPr>
            <w:tcW w:type="dxa" w:w="2232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Full AI and IDE project access</w:t>
            </w:r>
          </w:p>
        </w:tc>
        <w:tc>
          <w:tcPr>
            <w:tcW w:type="dxa" w:w="4031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Allows approved tools to work across code, tests and documents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Excludes secret locations</w:t>
            </w:r>
          </w:p>
        </w:tc>
        <w:tc>
          <w:tcPr>
            <w:tcW w:type="dxa" w:w="3528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Codex has broad access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No central registry governs every tool</w:t>
            </w:r>
          </w:p>
        </w:tc>
        <w:tc>
          <w:tcPr>
            <w:tcW w:type="dxa" w:w="1296"/>
            <w:shd w:fill="FFF4D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59E0B"/>
                <w:sz w:val="16"/>
              </w:rPr>
              <w:t>🔥 High</w:t>
            </w:r>
          </w:p>
        </w:tc>
        <w:tc>
          <w:tcPr>
            <w:tcW w:type="dxa" w:w="1944"/>
            <w:shd w:fill="FFF4D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59E0B"/>
                <w:sz w:val="16"/>
              </w:rPr>
              <w:t>🟡 Partial</w:t>
            </w:r>
          </w:p>
        </w:tc>
      </w:tr>
      <w:tr>
        <w:trPr>
          <w:trHeight w:hRule="atLeast"/>
          <w:cantSplit/>
        </w:trPr>
        <w:tc>
          <w:tcPr>
            <w:tcW w:type="dxa" w:w="6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2563EB"/>
                <w:sz w:val="26"/>
              </w:rPr>
              <w:t>☐</w:t>
            </w:r>
          </w:p>
        </w:tc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AI and IDE identity registry</w:t>
            </w:r>
          </w:p>
        </w:tc>
        <w:tc>
          <w:tcPr>
            <w:tcW w:type="dxa" w:w="40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Registers every model and IDE separately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Tracks owner, provider, purpose and status</w:t>
            </w:r>
          </w:p>
        </w:tc>
        <w:tc>
          <w:tcPr>
            <w:tcW w:type="dxa" w:w="35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Not implemented</w:t>
            </w:r>
          </w:p>
        </w:tc>
        <w:tc>
          <w:tcPr>
            <w:tcW w:type="dxa" w:w="1296"/>
            <w:shd w:fill="FFF4D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59E0B"/>
                <w:sz w:val="16"/>
              </w:rPr>
              <w:t>🔥 High</w:t>
            </w:r>
          </w:p>
        </w:tc>
        <w:tc>
          <w:tcPr>
            <w:tcW w:type="dxa" w:w="1944"/>
            <w:shd w:fill="EAF1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2563EB"/>
                <w:sz w:val="16"/>
              </w:rPr>
              <w:t>✅ Yes</w:t>
            </w:r>
          </w:p>
        </w:tc>
      </w:tr>
      <w:tr>
        <w:trPr>
          <w:trHeight w:hRule="atLeast"/>
          <w:cantSplit/>
        </w:trPr>
        <w:tc>
          <w:tcPr>
            <w:tcW w:type="dxa" w:w="648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2563EB"/>
                <w:sz w:val="26"/>
              </w:rPr>
              <w:t>☐</w:t>
            </w:r>
          </w:p>
        </w:tc>
        <w:tc>
          <w:tcPr>
            <w:tcW w:type="dxa" w:w="2232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Development access policy</w:t>
            </w:r>
          </w:p>
        </w:tc>
        <w:tc>
          <w:tcPr>
            <w:tcW w:type="dxa" w:w="4031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Controls source changes, builds and deployments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Blocks secrets and destructive production actions</w:t>
            </w:r>
          </w:p>
        </w:tc>
        <w:tc>
          <w:tcPr>
            <w:tcW w:type="dxa" w:w="3528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Written coordination instructions exist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Technical enforcement is incomplete</w:t>
            </w:r>
          </w:p>
        </w:tc>
        <w:tc>
          <w:tcPr>
            <w:tcW w:type="dxa" w:w="1296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C62828"/>
                <w:sz w:val="16"/>
              </w:rPr>
              <w:t>🚨 Critical</w:t>
            </w:r>
          </w:p>
        </w:tc>
        <w:tc>
          <w:tcPr>
            <w:tcW w:type="dxa" w:w="1944"/>
            <w:shd w:fill="FFF4D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59E0B"/>
                <w:sz w:val="16"/>
              </w:rPr>
              <w:t>🟡 Partial</w:t>
            </w:r>
          </w:p>
        </w:tc>
      </w:tr>
      <w:tr>
        <w:trPr>
          <w:trHeight w:hRule="atLeast"/>
          <w:cantSplit/>
        </w:trPr>
        <w:tc>
          <w:tcPr>
            <w:tcW w:type="dxa" w:w="6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2563EB"/>
                <w:sz w:val="26"/>
              </w:rPr>
              <w:t>☐</w:t>
            </w:r>
          </w:p>
        </w:tc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Secret isolation</w:t>
            </w:r>
          </w:p>
        </w:tc>
        <w:tc>
          <w:tcPr>
            <w:tcW w:type="dxa" w:w="40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Keeps secrets outside the repository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Injects them only into approved runtime processes</w:t>
            </w:r>
          </w:p>
        </w:tc>
        <w:tc>
          <w:tcPr>
            <w:tcW w:type="dxa" w:w="35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Firebase Secret Manager is partly used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Local ignore rules are not access control</w:t>
            </w:r>
          </w:p>
        </w:tc>
        <w:tc>
          <w:tcPr>
            <w:tcW w:type="dxa" w:w="1296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C62828"/>
                <w:sz w:val="16"/>
              </w:rPr>
              <w:t>🚨 Critical</w:t>
            </w:r>
          </w:p>
        </w:tc>
        <w:tc>
          <w:tcPr>
            <w:tcW w:type="dxa" w:w="1944"/>
            <w:shd w:fill="FFF4D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59E0B"/>
                <w:sz w:val="16"/>
              </w:rPr>
              <w:t>🟡 Partial</w:t>
            </w:r>
          </w:p>
        </w:tc>
      </w:tr>
      <w:tr>
        <w:trPr>
          <w:trHeight w:hRule="atLeast"/>
          <w:cantSplit/>
        </w:trPr>
        <w:tc>
          <w:tcPr>
            <w:tcW w:type="dxa" w:w="648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2563EB"/>
                <w:sz w:val="26"/>
              </w:rPr>
              <w:t>☐</w:t>
            </w:r>
          </w:p>
        </w:tc>
        <w:tc>
          <w:tcPr>
            <w:tcW w:type="dxa" w:w="2232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Express secret approval</w:t>
            </w:r>
          </w:p>
        </w:tc>
        <w:tc>
          <w:tcPr>
            <w:tcW w:type="dxa" w:w="4031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Requests one named secret for one purpose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Automatically expires permission</w:t>
            </w:r>
          </w:p>
        </w:tc>
        <w:tc>
          <w:tcPr>
            <w:tcW w:type="dxa" w:w="3528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Not implemented</w:t>
            </w:r>
          </w:p>
        </w:tc>
        <w:tc>
          <w:tcPr>
            <w:tcW w:type="dxa" w:w="1296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C62828"/>
                <w:sz w:val="16"/>
              </w:rPr>
              <w:t>🚨 Critical</w:t>
            </w:r>
          </w:p>
        </w:tc>
        <w:tc>
          <w:tcPr>
            <w:tcW w:type="dxa" w:w="1944"/>
            <w:shd w:fill="EAF1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2563EB"/>
                <w:sz w:val="16"/>
              </w:rPr>
              <w:t>✅ Yes</w:t>
            </w:r>
          </w:p>
        </w:tc>
      </w:tr>
      <w:tr>
        <w:trPr>
          <w:trHeight w:hRule="atLeast"/>
          <w:cantSplit/>
        </w:trPr>
        <w:tc>
          <w:tcPr>
            <w:tcW w:type="dxa" w:w="6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2563EB"/>
                <w:sz w:val="26"/>
              </w:rPr>
              <w:t>☐</w:t>
            </w:r>
          </w:p>
        </w:tc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Secret access audit</w:t>
            </w:r>
          </w:p>
        </w:tc>
        <w:tc>
          <w:tcPr>
            <w:tcW w:type="dxa" w:w="40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Records requester, decision, purpose and expiry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Never logs the secret value</w:t>
            </w:r>
          </w:p>
        </w:tc>
        <w:tc>
          <w:tcPr>
            <w:tcW w:type="dxa" w:w="35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Not implemented</w:t>
            </w:r>
          </w:p>
        </w:tc>
        <w:tc>
          <w:tcPr>
            <w:tcW w:type="dxa" w:w="1296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C62828"/>
                <w:sz w:val="16"/>
              </w:rPr>
              <w:t>🚨 Critical</w:t>
            </w:r>
          </w:p>
        </w:tc>
        <w:tc>
          <w:tcPr>
            <w:tcW w:type="dxa" w:w="1944"/>
            <w:shd w:fill="EAF1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2563EB"/>
                <w:sz w:val="16"/>
              </w:rPr>
              <w:t>✅ Yes</w:t>
            </w:r>
          </w:p>
        </w:tc>
      </w:tr>
      <w:tr>
        <w:trPr>
          <w:trHeight w:hRule="atLeast"/>
          <w:cantSplit/>
        </w:trPr>
        <w:tc>
          <w:tcPr>
            <w:tcW w:type="dxa" w:w="648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2563EB"/>
                <w:sz w:val="26"/>
              </w:rPr>
              <w:t>☐</w:t>
            </w:r>
          </w:p>
        </w:tc>
        <w:tc>
          <w:tcPr>
            <w:tcW w:type="dxa" w:w="2232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Short lived credentials</w:t>
            </w:r>
          </w:p>
        </w:tc>
        <w:tc>
          <w:tcPr>
            <w:tcW w:type="dxa" w:w="4031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Replaces permanent deployment credentials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Limits damage from accidental exposure</w:t>
            </w:r>
          </w:p>
        </w:tc>
        <w:tc>
          <w:tcPr>
            <w:tcW w:type="dxa" w:w="3528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Not implemented</w:t>
            </w:r>
          </w:p>
        </w:tc>
        <w:tc>
          <w:tcPr>
            <w:tcW w:type="dxa" w:w="1296"/>
            <w:shd w:fill="FFF4D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59E0B"/>
                <w:sz w:val="16"/>
              </w:rPr>
              <w:t>🔥 High</w:t>
            </w:r>
          </w:p>
        </w:tc>
        <w:tc>
          <w:tcPr>
            <w:tcW w:type="dxa" w:w="1944"/>
            <w:shd w:fill="EAF1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2563EB"/>
                <w:sz w:val="16"/>
              </w:rPr>
              <w:t>✅ Yes</w:t>
            </w:r>
          </w:p>
        </w:tc>
      </w:tr>
      <w:tr>
        <w:trPr>
          <w:trHeight w:hRule="atLeast"/>
          <w:cantSplit/>
        </w:trPr>
        <w:tc>
          <w:tcPr>
            <w:tcW w:type="dxa" w:w="6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2563EB"/>
                <w:sz w:val="26"/>
              </w:rPr>
              <w:t>☐</w:t>
            </w:r>
          </w:p>
        </w:tc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Token catalogue</w:t>
            </w:r>
          </w:p>
        </w:tc>
        <w:tc>
          <w:tcPr>
            <w:tcW w:type="dxa" w:w="40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Tracks fingerprints, scopes, deployment, rotation and revocation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Avoids storing reusable raw token values</w:t>
            </w:r>
          </w:p>
        </w:tc>
        <w:tc>
          <w:tcPr>
            <w:tcW w:type="dxa" w:w="35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Substantial foundation exists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Further backend hardening is required</w:t>
            </w:r>
          </w:p>
        </w:tc>
        <w:tc>
          <w:tcPr>
            <w:tcW w:type="dxa" w:w="1296"/>
            <w:shd w:fill="FFF4D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59E0B"/>
                <w:sz w:val="16"/>
              </w:rPr>
              <w:t>🔥 High</w:t>
            </w:r>
          </w:p>
        </w:tc>
        <w:tc>
          <w:tcPr>
            <w:tcW w:type="dxa" w:w="1944"/>
            <w:shd w:fill="FFF4D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59E0B"/>
                <w:sz w:val="16"/>
              </w:rPr>
              <w:t>🟡 Partial</w:t>
            </w:r>
          </w:p>
        </w:tc>
      </w:tr>
      <w:tr>
        <w:trPr>
          <w:trHeight w:hRule="atLeast"/>
          <w:cantSplit/>
        </w:trPr>
        <w:tc>
          <w:tcPr>
            <w:tcW w:type="dxa" w:w="648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2563EB"/>
                <w:sz w:val="26"/>
              </w:rPr>
              <w:t>☐</w:t>
            </w:r>
          </w:p>
        </w:tc>
        <w:tc>
          <w:tcPr>
            <w:tcW w:type="dxa" w:w="2232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Model specific tokens</w:t>
            </w:r>
          </w:p>
        </w:tc>
        <w:tc>
          <w:tcPr>
            <w:tcW w:type="dxa" w:w="4031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Gives each tool an independently traceable identity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Allows individual revocation</w:t>
            </w:r>
          </w:p>
        </w:tc>
        <w:tc>
          <w:tcPr>
            <w:tcW w:type="dxa" w:w="3528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Token foundation exists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Models are not connected to it</w:t>
            </w:r>
          </w:p>
        </w:tc>
        <w:tc>
          <w:tcPr>
            <w:tcW w:type="dxa" w:w="1296"/>
            <w:shd w:fill="FFF4D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59E0B"/>
                <w:sz w:val="16"/>
              </w:rPr>
              <w:t>🔥 High</w:t>
            </w:r>
          </w:p>
        </w:tc>
        <w:tc>
          <w:tcPr>
            <w:tcW w:type="dxa" w:w="1944"/>
            <w:shd w:fill="EAF1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2563EB"/>
                <w:sz w:val="16"/>
              </w:rPr>
              <w:t>✅ Yes</w:t>
            </w:r>
          </w:p>
        </w:tc>
      </w:tr>
      <w:tr>
        <w:trPr>
          <w:trHeight w:hRule="atLeast"/>
          <w:cantSplit/>
        </w:trPr>
        <w:tc>
          <w:tcPr>
            <w:tcW w:type="dxa" w:w="6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2563EB"/>
                <w:sz w:val="26"/>
              </w:rPr>
              <w:t>☐</w:t>
            </w:r>
          </w:p>
        </w:tc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Secure AI administration authentication</w:t>
            </w:r>
          </w:p>
        </w:tc>
        <w:tc>
          <w:tcPr>
            <w:tcW w:type="dxa" w:w="40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Requires signed session validation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Prevents Platform Owner impersonation</w:t>
            </w:r>
          </w:p>
        </w:tc>
        <w:tc>
          <w:tcPr>
            <w:tcW w:type="dxa" w:w="35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Unsafe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Current endpoints trust a caller supplied identity header</w:t>
            </w:r>
          </w:p>
        </w:tc>
        <w:tc>
          <w:tcPr>
            <w:tcW w:type="dxa" w:w="1296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C62828"/>
                <w:sz w:val="16"/>
              </w:rPr>
              <w:t>🚨 Critical</w:t>
            </w:r>
          </w:p>
        </w:tc>
        <w:tc>
          <w:tcPr>
            <w:tcW w:type="dxa" w:w="1944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C62828"/>
                <w:sz w:val="16"/>
              </w:rPr>
              <w:t>🚨 Urgent</w:t>
            </w:r>
          </w:p>
        </w:tc>
      </w:tr>
      <w:tr>
        <w:trPr>
          <w:trHeight w:hRule="atLeast"/>
          <w:cantSplit/>
        </w:trPr>
        <w:tc>
          <w:tcPr>
            <w:tcW w:type="dxa" w:w="648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2563EB"/>
                <w:sz w:val="26"/>
              </w:rPr>
              <w:t>☐</w:t>
            </w:r>
          </w:p>
        </w:tc>
        <w:tc>
          <w:tcPr>
            <w:tcW w:type="dxa" w:w="2232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AI usage log protection</w:t>
            </w:r>
          </w:p>
        </w:tc>
        <w:tc>
          <w:tcPr>
            <w:tcW w:type="dxa" w:w="4031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Authenticates usage events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Prevents fake activity from polluting analytics</w:t>
            </w:r>
          </w:p>
        </w:tc>
        <w:tc>
          <w:tcPr>
            <w:tcW w:type="dxa" w:w="3528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Current endpoint accepts caller supplied identity data</w:t>
            </w:r>
          </w:p>
        </w:tc>
        <w:tc>
          <w:tcPr>
            <w:tcW w:type="dxa" w:w="1296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C62828"/>
                <w:sz w:val="16"/>
              </w:rPr>
              <w:t>🚨 Critical</w:t>
            </w:r>
          </w:p>
        </w:tc>
        <w:tc>
          <w:tcPr>
            <w:tcW w:type="dxa" w:w="1944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C62828"/>
                <w:sz w:val="16"/>
              </w:rPr>
              <w:t>🚨 Urgent</w:t>
            </w:r>
          </w:p>
        </w:tc>
      </w:tr>
      <w:tr>
        <w:trPr>
          <w:trHeight w:hRule="atLeast"/>
          <w:cantSplit/>
        </w:trPr>
        <w:tc>
          <w:tcPr>
            <w:tcW w:type="dxa" w:w="6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2563EB"/>
                <w:sz w:val="26"/>
              </w:rPr>
              <w:t>☐</w:t>
            </w:r>
          </w:p>
        </w:tc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Password security replacement</w:t>
            </w:r>
          </w:p>
        </w:tc>
        <w:tc>
          <w:tcPr>
            <w:tcW w:type="dxa" w:w="40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Removes readable and hardcoded credentials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Uses managed identity or secure password hashing</w:t>
            </w:r>
          </w:p>
        </w:tc>
        <w:tc>
          <w:tcPr>
            <w:tcW w:type="dxa" w:w="35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Unsafe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Readable credentials and a hardcoded default remain</w:t>
            </w:r>
          </w:p>
        </w:tc>
        <w:tc>
          <w:tcPr>
            <w:tcW w:type="dxa" w:w="1296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C62828"/>
                <w:sz w:val="16"/>
              </w:rPr>
              <w:t>🚨 Critical</w:t>
            </w:r>
          </w:p>
        </w:tc>
        <w:tc>
          <w:tcPr>
            <w:tcW w:type="dxa" w:w="1944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C62828"/>
                <w:sz w:val="16"/>
              </w:rPr>
              <w:t>🚨 Urgent</w:t>
            </w:r>
          </w:p>
        </w:tc>
      </w:tr>
      <w:tr>
        <w:trPr>
          <w:trHeight w:hRule="atLeast"/>
          <w:cantSplit/>
        </w:trPr>
        <w:tc>
          <w:tcPr>
            <w:tcW w:type="dxa" w:w="648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C62828"/>
                <w:sz w:val="26"/>
              </w:rPr>
              <w:t>☒</w:t>
            </w:r>
          </w:p>
        </w:tc>
        <w:tc>
          <w:tcPr>
            <w:tcW w:type="dxa" w:w="2232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One shared password across platforms</w:t>
            </w:r>
          </w:p>
        </w:tc>
        <w:tc>
          <w:tcPr>
            <w:tcW w:type="dxa" w:w="4031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Would reuse one password across several systems</w:t>
            </w:r>
          </w:p>
        </w:tc>
        <w:tc>
          <w:tcPr>
            <w:tcW w:type="dxa" w:w="3528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Rejected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A single compromise would expose every platform</w:t>
            </w:r>
          </w:p>
        </w:tc>
        <w:tc>
          <w:tcPr>
            <w:tcW w:type="dxa" w:w="1296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C62828"/>
                <w:sz w:val="16"/>
              </w:rPr>
              <w:t>🚨 Critical</w:t>
            </w:r>
          </w:p>
        </w:tc>
        <w:tc>
          <w:tcPr>
            <w:tcW w:type="dxa" w:w="1944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C62828"/>
                <w:sz w:val="16"/>
              </w:rPr>
              <w:t>⛔ Use SSO</w:t>
            </w:r>
          </w:p>
        </w:tc>
      </w:tr>
      <w:tr>
        <w:trPr>
          <w:trHeight w:hRule="atLeast"/>
          <w:cantSplit/>
        </w:trPr>
        <w:tc>
          <w:tcPr>
            <w:tcW w:type="dxa" w:w="6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2563EB"/>
                <w:sz w:val="26"/>
              </w:rPr>
              <w:t>☐</w:t>
            </w:r>
          </w:p>
        </w:tc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Automated secret scanning</w:t>
            </w:r>
          </w:p>
        </w:tc>
        <w:tc>
          <w:tcPr>
            <w:tcW w:type="dxa" w:w="40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Scans commits and proposed deployments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Blocks accidental credential publication</w:t>
            </w:r>
          </w:p>
        </w:tc>
        <w:tc>
          <w:tcPr>
            <w:tcW w:type="dxa" w:w="35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Ignore rules exist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Automated scanning is not configured</w:t>
            </w:r>
          </w:p>
        </w:tc>
        <w:tc>
          <w:tcPr>
            <w:tcW w:type="dxa" w:w="1296"/>
            <w:shd w:fill="FFF4D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59E0B"/>
                <w:sz w:val="16"/>
              </w:rPr>
              <w:t>🔥 High</w:t>
            </w:r>
          </w:p>
        </w:tc>
        <w:tc>
          <w:tcPr>
            <w:tcW w:type="dxa" w:w="1944"/>
            <w:shd w:fill="EAF1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2563EB"/>
                <w:sz w:val="16"/>
              </w:rPr>
              <w:t>✅ Yes</w:t>
            </w:r>
          </w:p>
        </w:tc>
      </w:tr>
      <w:tr>
        <w:trPr>
          <w:trHeight w:hRule="atLeast"/>
          <w:cantSplit/>
        </w:trPr>
        <w:tc>
          <w:tcPr>
            <w:tcW w:type="dxa" w:w="648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2563EB"/>
                <w:sz w:val="26"/>
              </w:rPr>
              <w:t>☐</w:t>
            </w:r>
          </w:p>
        </w:tc>
        <w:tc>
          <w:tcPr>
            <w:tcW w:type="dxa" w:w="2232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AI file access audit</w:t>
            </w:r>
          </w:p>
        </w:tc>
        <w:tc>
          <w:tcPr>
            <w:tcW w:type="dxa" w:w="4031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Records which model changed which file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Connects changes to builds and deployments</w:t>
            </w:r>
          </w:p>
        </w:tc>
        <w:tc>
          <w:tcPr>
            <w:tcW w:type="dxa" w:w="3528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Agent notes exist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No technically enforced file audit</w:t>
            </w:r>
          </w:p>
        </w:tc>
        <w:tc>
          <w:tcPr>
            <w:tcW w:type="dxa" w:w="1296"/>
            <w:shd w:fill="FFF4D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59E0B"/>
                <w:sz w:val="16"/>
              </w:rPr>
              <w:t>🔥 High</w:t>
            </w:r>
          </w:p>
        </w:tc>
        <w:tc>
          <w:tcPr>
            <w:tcW w:type="dxa" w:w="1944"/>
            <w:shd w:fill="FFF4D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59E0B"/>
                <w:sz w:val="16"/>
              </w:rPr>
              <w:t>🟡 Partial</w:t>
            </w:r>
          </w:p>
        </w:tc>
      </w:tr>
      <w:tr>
        <w:trPr>
          <w:trHeight w:hRule="atLeast"/>
          <w:cantSplit/>
        </w:trPr>
        <w:tc>
          <w:tcPr>
            <w:tcW w:type="dxa" w:w="6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2563EB"/>
                <w:sz w:val="26"/>
              </w:rPr>
              <w:t>☐</w:t>
            </w:r>
          </w:p>
        </w:tc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Provider privacy controls</w:t>
            </w:r>
          </w:p>
        </w:tc>
        <w:tc>
          <w:tcPr>
            <w:tcW w:type="dxa" w:w="40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Tracks external providers and retention settings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Prevents restricted data entering prompts</w:t>
            </w:r>
          </w:p>
        </w:tc>
        <w:tc>
          <w:tcPr>
            <w:tcW w:type="dxa" w:w="35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Not centrally implemented</w:t>
            </w:r>
          </w:p>
        </w:tc>
        <w:tc>
          <w:tcPr>
            <w:tcW w:type="dxa" w:w="1296"/>
            <w:shd w:fill="FFF4D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59E0B"/>
                <w:sz w:val="16"/>
              </w:rPr>
              <w:t>🔥 High</w:t>
            </w:r>
          </w:p>
        </w:tc>
        <w:tc>
          <w:tcPr>
            <w:tcW w:type="dxa" w:w="1944"/>
            <w:shd w:fill="EAF1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2563EB"/>
                <w:sz w:val="16"/>
              </w:rPr>
              <w:t>⚙ Provider setup</w:t>
            </w:r>
          </w:p>
        </w:tc>
      </w:tr>
      <w:tr>
        <w:trPr>
          <w:trHeight w:hRule="atLeast"/>
          <w:cantSplit/>
        </w:trPr>
        <w:tc>
          <w:tcPr>
            <w:tcW w:type="dxa" w:w="648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26"/>
              </w:rPr>
              <w:t>☑</w:t>
            </w:r>
          </w:p>
        </w:tc>
        <w:tc>
          <w:tcPr>
            <w:tcW w:type="dxa" w:w="2232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Build and tenant verification</w:t>
            </w:r>
          </w:p>
        </w:tc>
        <w:tc>
          <w:tcPr>
            <w:tcW w:type="dxa" w:w="4031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Confirms compilation and tenant architecture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Checks backend syntax</w:t>
            </w:r>
          </w:p>
        </w:tc>
        <w:tc>
          <w:tcPr>
            <w:tcW w:type="dxa" w:w="3528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ind w:left="159" w:hanging="136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All checks passed</w:t>
            </w:r>
          </w:p>
          <w:p>
            <w:pPr>
              <w:spacing w:after="30" w:line="240" w:lineRule="auto"/>
              <w:ind w:left="159" w:hanging="136"/>
            </w:pPr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8212A"/>
                <w:sz w:val="16"/>
              </w:rPr>
              <w:t>A large bundle warning remains</w:t>
            </w:r>
          </w:p>
        </w:tc>
        <w:tc>
          <w:tcPr>
            <w:tcW w:type="dxa" w:w="1296"/>
            <w:shd w:fill="EAF1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2563EB"/>
                <w:sz w:val="16"/>
              </w:rPr>
              <w:t>🛠 Medium</w:t>
            </w:r>
          </w:p>
        </w:tc>
        <w:tc>
          <w:tcPr>
            <w:tcW w:type="dxa" w:w="1944"/>
            <w:shd w:fill="EAF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3" w:color="D9E0E3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6"/>
              </w:rPr>
              <w:t>✅ Complete</w:t>
            </w:r>
          </w:p>
        </w:tc>
      </w:tr>
    </w:tbl>
    <w:p>
      <w:pPr>
        <w:sectPr>
          <w:headerReference w:type="default" r:id="rId12"/>
          <w:footerReference w:type="default" r:id="rId13"/>
          <w:pgSz w:w="16838" w:h="11906" w:orient="landscape"/>
          <w:pgMar w:top="907" w:right="850" w:bottom="850" w:left="850" w:header="720" w:footer="720" w:gutter="0"/>
          <w:cols w:space="720"/>
          <w:docGrid w:linePitch="360"/>
        </w:sectPr>
      </w:pPr>
    </w:p>
    <w:p>
      <w:pPr>
        <w:spacing w:before="160" w:after="40"/>
      </w:pPr>
      <w:r>
        <w:rPr>
          <w:rFonts w:ascii="Aptos" w:hAnsi="Aptos" w:eastAsia="Aptos"/>
          <w:b/>
          <w:i w:val="0"/>
          <w:color w:val="00533F"/>
          <w:sz w:val="17"/>
        </w:rPr>
        <w:t>URGENT RISK REGISTER</w:t>
      </w:r>
    </w:p>
    <w:p>
      <w:pPr>
        <w:spacing w:after="120"/>
      </w:pPr>
      <w:r>
        <w:rPr>
          <w:rFonts w:ascii="Aptos" w:hAnsi="Aptos" w:eastAsia="Aptos"/>
          <w:b/>
          <w:i w:val="0"/>
          <w:color w:val="11233B"/>
          <w:sz w:val="46"/>
        </w:rPr>
        <w:t>Three issues to correct first</w:t>
      </w:r>
    </w:p>
    <w:p>
      <w:pPr>
        <w:spacing w:after="200"/>
      </w:pPr>
      <w:r>
        <w:rPr>
          <w:rFonts w:ascii="Aptos" w:hAnsi="Aptos" w:eastAsia="Aptos"/>
          <w:b w:val="0"/>
          <w:i w:val="0"/>
          <w:color w:val="5B6770"/>
          <w:sz w:val="21"/>
        </w:rPr>
        <w:t>These are not cosmetic improvements. They affect authentication, accountability and the confidentiality of user credentials.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C628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1973"/>
            <w:shd w:fill="C628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Finding</w:t>
            </w:r>
          </w:p>
        </w:tc>
        <w:tc>
          <w:tcPr>
            <w:tcW w:type="dxa" w:w="1973"/>
            <w:shd w:fill="C628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Why it matters</w:t>
            </w:r>
          </w:p>
        </w:tc>
        <w:tc>
          <w:tcPr>
            <w:tcW w:type="dxa" w:w="1973"/>
            <w:shd w:fill="C628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Required correction</w:t>
            </w:r>
          </w:p>
        </w:tc>
        <w:tc>
          <w:tcPr>
            <w:tcW w:type="dxa" w:w="1973"/>
            <w:shd w:fill="C628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197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🚨 P0</w:t>
            </w:r>
          </w:p>
        </w:tc>
        <w:tc>
          <w:tcPr>
            <w:tcW w:type="dxa" w:w="197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AI administration trusts identity headers</w:t>
            </w:r>
          </w:p>
        </w:tc>
        <w:tc>
          <w:tcPr>
            <w:tcW w:type="dxa" w:w="197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A caller could claim the Platform Owner identity.</w:t>
            </w:r>
          </w:p>
        </w:tc>
        <w:tc>
          <w:tcPr>
            <w:tcW w:type="dxa" w:w="197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Require the signed tenant session and server verified owner role on every AI administration endpoint.</w:t>
            </w:r>
          </w:p>
        </w:tc>
        <w:tc>
          <w:tcPr>
            <w:tcW w:type="dxa" w:w="197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Impersonation blocked</w:t>
            </w:r>
          </w:p>
        </w:tc>
      </w:tr>
      <w:tr>
        <w:trPr>
          <w:cantSplit/>
        </w:trPr>
        <w:tc>
          <w:tcPr>
            <w:tcW w:type="dxa" w:w="1973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🚨 P0</w:t>
            </w:r>
          </w:p>
        </w:tc>
        <w:tc>
          <w:tcPr>
            <w:tcW w:type="dxa" w:w="1973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AI usage events accept caller supplied identity</w:t>
            </w:r>
          </w:p>
        </w:tc>
        <w:tc>
          <w:tcPr>
            <w:tcW w:type="dxa" w:w="1973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False records could distort monitoring and billing evidence.</w:t>
            </w:r>
          </w:p>
        </w:tc>
        <w:tc>
          <w:tcPr>
            <w:tcW w:type="dxa" w:w="1973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Authenticate events, derive user and tenant identity on the server, validate feature names and rate limit submissions.</w:t>
            </w:r>
          </w:p>
        </w:tc>
        <w:tc>
          <w:tcPr>
            <w:tcW w:type="dxa" w:w="1973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Reliable usage evidence</w:t>
            </w:r>
          </w:p>
        </w:tc>
      </w:tr>
      <w:tr>
        <w:trPr>
          <w:cantSplit/>
        </w:trPr>
        <w:tc>
          <w:tcPr>
            <w:tcW w:type="dxa" w:w="197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🚨 P0</w:t>
            </w:r>
          </w:p>
        </w:tc>
        <w:tc>
          <w:tcPr>
            <w:tcW w:type="dxa" w:w="197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Readable and hardcoded passwords remain</w:t>
            </w:r>
          </w:p>
        </w:tc>
        <w:tc>
          <w:tcPr>
            <w:tcW w:type="dxa" w:w="197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Any source or state exposure could reveal reusable credentials.</w:t>
            </w:r>
          </w:p>
        </w:tc>
        <w:tc>
          <w:tcPr>
            <w:tcW w:type="dxa" w:w="197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Remove hardcoded values, migrate to Firebase Authentication or a secure hash based service and force credential rotation.</w:t>
            </w:r>
          </w:p>
        </w:tc>
        <w:tc>
          <w:tcPr>
            <w:tcW w:type="dxa" w:w="197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Secrets removed from code and state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8787"/>
      </w:tblGrid>
      <w:tr>
        <w:tc>
          <w:tcPr>
            <w:tcW w:type="dxa" w:w="4933"/>
            <w:shd w:fill="EAF1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18212A"/>
                <w:sz w:val="40"/>
              </w:rPr>
              <w:t>🧭</w:t>
            </w:r>
          </w:p>
        </w:tc>
        <w:tc>
          <w:tcPr>
            <w:tcW w:type="dxa" w:w="4933"/>
            <w:shd w:fill="EAF1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1233B"/>
                <w:sz w:val="22"/>
              </w:rPr>
              <w:t>Important correction to the original idea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8212A"/>
                <w:sz w:val="19"/>
              </w:rPr>
              <w:t>Full working access is sensible. Full production privilege for every model is not. The better arrangement is broad project access, protected deployment actions and secret access only through explicit approval.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rFonts w:ascii="Aptos" w:hAnsi="Aptos" w:eastAsia="Aptos"/>
          <w:b/>
          <w:i w:val="0"/>
          <w:color w:val="00533F"/>
          <w:sz w:val="17"/>
        </w:rPr>
        <w:t>IMPLEMENTATION CAPABILITY</w:t>
      </w:r>
    </w:p>
    <w:p>
      <w:pPr>
        <w:spacing w:after="120"/>
      </w:pPr>
      <w:r>
        <w:rPr>
          <w:rFonts w:ascii="Aptos" w:hAnsi="Aptos" w:eastAsia="Aptos"/>
          <w:b/>
          <w:i w:val="0"/>
          <w:color w:val="11233B"/>
          <w:sz w:val="46"/>
        </w:rPr>
        <w:t>What Codex can build</w:t>
      </w:r>
    </w:p>
    <w:p>
      <w:pPr>
        <w:spacing w:after="200"/>
      </w:pPr>
      <w:r>
        <w:rPr>
          <w:rFonts w:ascii="Aptos" w:hAnsi="Aptos" w:eastAsia="Aptos"/>
          <w:b w:val="0"/>
          <w:i w:val="0"/>
          <w:color w:val="5B6770"/>
          <w:sz w:val="21"/>
        </w:rPr>
        <w:t>Everything below is technically achievable. External provider settings and cloud account approvals still require the relevant account owner permissions.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00533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Decision</w:t>
            </w:r>
          </w:p>
        </w:tc>
        <w:tc>
          <w:tcPr>
            <w:tcW w:type="dxa" w:w="2466"/>
            <w:shd w:fill="00533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Deliverable</w:t>
            </w:r>
          </w:p>
        </w:tc>
        <w:tc>
          <w:tcPr>
            <w:tcW w:type="dxa" w:w="2466"/>
            <w:shd w:fill="00533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Responsibility</w:t>
            </w:r>
          </w:p>
        </w:tc>
        <w:tc>
          <w:tcPr>
            <w:tcW w:type="dxa" w:w="2466"/>
            <w:shd w:fill="00533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Important condition</w:t>
            </w:r>
          </w:p>
        </w:tc>
      </w:tr>
      <w:tr>
        <w:trPr>
          <w:cantSplit/>
        </w:trPr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7"/>
              </w:rPr>
              <w:t>☑ Build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AI and IDE identity registry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Codex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Each tool receives its own identity and revocable permissions.</w:t>
            </w:r>
          </w:p>
        </w:tc>
      </w:tr>
      <w:tr>
        <w:trPr>
          <w:cantSplit/>
        </w:trPr>
        <w:tc>
          <w:tcPr>
            <w:tcW w:type="dxa" w:w="246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7"/>
              </w:rPr>
              <w:t>☑ Build</w:t>
            </w:r>
          </w:p>
        </w:tc>
        <w:tc>
          <w:tcPr>
            <w:tcW w:type="dxa" w:w="246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Secret request and approval gateway</w:t>
            </w:r>
          </w:p>
        </w:tc>
        <w:tc>
          <w:tcPr>
            <w:tcW w:type="dxa" w:w="246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Codex plus Ayodeji approval</w:t>
            </w:r>
          </w:p>
        </w:tc>
        <w:tc>
          <w:tcPr>
            <w:tcW w:type="dxa" w:w="246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No secret is supplied without a specific approval.</w:t>
            </w:r>
          </w:p>
        </w:tc>
      </w:tr>
      <w:tr>
        <w:trPr>
          <w:cantSplit/>
        </w:trPr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7"/>
              </w:rPr>
              <w:t>☑ Build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Signed AI administration security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Codex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Replace identity headers with verified tenant sessions.</w:t>
            </w:r>
          </w:p>
        </w:tc>
      </w:tr>
      <w:tr>
        <w:trPr>
          <w:cantSplit/>
        </w:trPr>
        <w:tc>
          <w:tcPr>
            <w:tcW w:type="dxa" w:w="246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7"/>
              </w:rPr>
              <w:t>☑ Build</w:t>
            </w:r>
          </w:p>
        </w:tc>
        <w:tc>
          <w:tcPr>
            <w:tcW w:type="dxa" w:w="246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Authenticated AI usage logging</w:t>
            </w:r>
          </w:p>
        </w:tc>
        <w:tc>
          <w:tcPr>
            <w:tcW w:type="dxa" w:w="246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Codex</w:t>
            </w:r>
          </w:p>
        </w:tc>
        <w:tc>
          <w:tcPr>
            <w:tcW w:type="dxa" w:w="246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Identity is derived on the server, not trusted from the browser.</w:t>
            </w:r>
          </w:p>
        </w:tc>
      </w:tr>
      <w:tr>
        <w:trPr>
          <w:cantSplit/>
        </w:trPr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7"/>
              </w:rPr>
              <w:t>☑ Build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Password security migration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Codex plus account owner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Existing users require a carefully tested migration and password reset.</w:t>
            </w:r>
          </w:p>
        </w:tc>
      </w:tr>
      <w:tr>
        <w:trPr>
          <w:cantSplit/>
        </w:trPr>
        <w:tc>
          <w:tcPr>
            <w:tcW w:type="dxa" w:w="246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7"/>
              </w:rPr>
              <w:t>☑ Build</w:t>
            </w:r>
          </w:p>
        </w:tc>
        <w:tc>
          <w:tcPr>
            <w:tcW w:type="dxa" w:w="246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Model specific token deployment</w:t>
            </w:r>
          </w:p>
        </w:tc>
        <w:tc>
          <w:tcPr>
            <w:tcW w:type="dxa" w:w="246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Codex</w:t>
            </w:r>
          </w:p>
        </w:tc>
        <w:tc>
          <w:tcPr>
            <w:tcW w:type="dxa" w:w="246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Raw token values are shown once and never exported.</w:t>
            </w:r>
          </w:p>
        </w:tc>
      </w:tr>
      <w:tr>
        <w:trPr>
          <w:cantSplit/>
        </w:trPr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7"/>
              </w:rPr>
              <w:t>☑ Build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Automated secret scanning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Codex plus repository administrator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Repository push protection requires GitHub settings access.</w:t>
            </w:r>
          </w:p>
        </w:tc>
      </w:tr>
      <w:tr>
        <w:trPr>
          <w:cantSplit/>
        </w:trPr>
        <w:tc>
          <w:tcPr>
            <w:tcW w:type="dxa" w:w="246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7"/>
              </w:rPr>
              <w:t>☑ Build</w:t>
            </w:r>
          </w:p>
        </w:tc>
        <w:tc>
          <w:tcPr>
            <w:tcW w:type="dxa" w:w="246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AI action and file audit</w:t>
            </w:r>
          </w:p>
        </w:tc>
        <w:tc>
          <w:tcPr>
            <w:tcW w:type="dxa" w:w="246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Codex</w:t>
            </w:r>
          </w:p>
        </w:tc>
        <w:tc>
          <w:tcPr>
            <w:tcW w:type="dxa" w:w="246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Every change connects to agent identity, prompt, build and deployment.</w:t>
            </w:r>
          </w:p>
        </w:tc>
      </w:tr>
      <w:tr>
        <w:trPr>
          <w:cantSplit/>
        </w:trPr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7"/>
              </w:rPr>
              <w:t>☑ Configure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Short lived cloud credentials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Codex plus Google Cloud owner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Google Cloud IAM permissions must be granted by the project owner.</w:t>
            </w:r>
          </w:p>
        </w:tc>
      </w:tr>
      <w:tr>
        <w:trPr>
          <w:cantSplit/>
        </w:trPr>
        <w:tc>
          <w:tcPr>
            <w:tcW w:type="dxa" w:w="246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17"/>
              </w:rPr>
              <w:t>☑ Configure</w:t>
            </w:r>
          </w:p>
        </w:tc>
        <w:tc>
          <w:tcPr>
            <w:tcW w:type="dxa" w:w="246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Provider privacy registry</w:t>
            </w:r>
          </w:p>
        </w:tc>
        <w:tc>
          <w:tcPr>
            <w:tcW w:type="dxa" w:w="246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Codex plus provider account owners</w:t>
            </w:r>
          </w:p>
        </w:tc>
        <w:tc>
          <w:tcPr>
            <w:tcW w:type="dxa" w:w="246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Retention guarantees depend on each provider's available plan and settings.</w:t>
            </w:r>
          </w:p>
        </w:tc>
      </w:tr>
      <w:tr>
        <w:trPr>
          <w:cantSplit/>
        </w:trPr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C62828"/>
                <w:sz w:val="17"/>
              </w:rPr>
              <w:t>☒ Reject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One shared password across platforms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Not recommended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Use single sign on or federated identity instead.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Aptos" w:hAnsi="Aptos" w:eastAsia="Aptos"/>
          <w:b/>
          <w:i w:val="0"/>
          <w:color w:val="00533F"/>
          <w:sz w:val="17"/>
        </w:rPr>
        <w:t>DECISION SHEET</w:t>
      </w:r>
    </w:p>
    <w:p>
      <w:pPr>
        <w:spacing w:after="120"/>
      </w:pPr>
      <w:r>
        <w:rPr>
          <w:rFonts w:ascii="Aptos" w:hAnsi="Aptos" w:eastAsia="Aptos"/>
          <w:b/>
          <w:i w:val="0"/>
          <w:color w:val="11233B"/>
          <w:sz w:val="46"/>
        </w:rPr>
        <w:t>Ayodeji's approval checklist</w:t>
      </w:r>
    </w:p>
    <w:p>
      <w:pPr>
        <w:spacing w:after="200"/>
      </w:pPr>
      <w:r>
        <w:rPr>
          <w:rFonts w:ascii="Aptos" w:hAnsi="Aptos" w:eastAsia="Aptos"/>
          <w:b w:val="0"/>
          <w:i w:val="0"/>
          <w:color w:val="5B6770"/>
          <w:sz w:val="21"/>
        </w:rPr>
        <w:t>Tick the controls you want implemented. The recommended decisions are already marked.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rPr>
          <w:cantSplit/>
        </w:trPr>
        <w:tc>
          <w:tcPr>
            <w:tcW w:type="dxa" w:w="680"/>
            <w:shd w:fill="EAF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FFFFFF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28"/>
              </w:rPr>
              <w:t>☑</w:t>
            </w:r>
          </w:p>
        </w:tc>
        <w:tc>
          <w:tcPr>
            <w:tcW w:type="dxa" w:w="8787"/>
            <w:shd w:fill="EAF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FFFFFF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20"/>
              </w:rPr>
              <w:t>Allow approved AI models and IDEs broad access to ordinary project files</w:t>
            </w:r>
          </w:p>
        </w:tc>
      </w:tr>
      <w:tr>
        <w:trPr>
          <w:cantSplit/>
        </w:trPr>
        <w:tc>
          <w:tcPr>
            <w:tcW w:type="dxa" w:w="680"/>
            <w:shd w:fill="EAF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FFFFFF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28"/>
              </w:rPr>
              <w:t>☑</w:t>
            </w:r>
          </w:p>
        </w:tc>
        <w:tc>
          <w:tcPr>
            <w:tcW w:type="dxa" w:w="8787"/>
            <w:shd w:fill="EAF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FFFFFF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20"/>
              </w:rPr>
              <w:t>Keep secret values denied by default</w:t>
            </w:r>
          </w:p>
        </w:tc>
      </w:tr>
      <w:tr>
        <w:trPr>
          <w:cantSplit/>
        </w:trPr>
        <w:tc>
          <w:tcPr>
            <w:tcW w:type="dxa" w:w="680"/>
            <w:shd w:fill="EAF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FFFFFF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28"/>
              </w:rPr>
              <w:t>☑</w:t>
            </w:r>
          </w:p>
        </w:tc>
        <w:tc>
          <w:tcPr>
            <w:tcW w:type="dxa" w:w="8787"/>
            <w:shd w:fill="EAF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FFFFFF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20"/>
              </w:rPr>
              <w:t>Require Ayodeji's explicit approval before any secret access</w:t>
            </w:r>
          </w:p>
        </w:tc>
      </w:tr>
      <w:tr>
        <w:trPr>
          <w:cantSplit/>
        </w:trPr>
        <w:tc>
          <w:tcPr>
            <w:tcW w:type="dxa" w:w="680"/>
            <w:shd w:fill="EAF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FFFFFF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28"/>
              </w:rPr>
              <w:t>☑</w:t>
            </w:r>
          </w:p>
        </w:tc>
        <w:tc>
          <w:tcPr>
            <w:tcW w:type="dxa" w:w="8787"/>
            <w:shd w:fill="EAF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FFFFFF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20"/>
              </w:rPr>
              <w:t>Make secret approval temporary, purpose specific and audited</w:t>
            </w:r>
          </w:p>
        </w:tc>
      </w:tr>
      <w:tr>
        <w:trPr>
          <w:cantSplit/>
        </w:trPr>
        <w:tc>
          <w:tcPr>
            <w:tcW w:type="dxa" w:w="680"/>
            <w:shd w:fill="EAF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FFFFFF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C62828"/>
                <w:sz w:val="28"/>
              </w:rPr>
              <w:t>☑</w:t>
            </w:r>
          </w:p>
        </w:tc>
        <w:tc>
          <w:tcPr>
            <w:tcW w:type="dxa" w:w="8787"/>
            <w:shd w:fill="EAF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FFFFFF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20"/>
              </w:rPr>
              <w:t>Repair AI administration authentication before expanding access</w:t>
            </w:r>
          </w:p>
        </w:tc>
      </w:tr>
      <w:tr>
        <w:trPr>
          <w:cantSplit/>
        </w:trPr>
        <w:tc>
          <w:tcPr>
            <w:tcW w:type="dxa" w:w="680"/>
            <w:shd w:fill="EAF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FFFFFF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C62828"/>
                <w:sz w:val="28"/>
              </w:rPr>
              <w:t>☑</w:t>
            </w:r>
          </w:p>
        </w:tc>
        <w:tc>
          <w:tcPr>
            <w:tcW w:type="dxa" w:w="8787"/>
            <w:shd w:fill="EAF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FFFFFF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20"/>
              </w:rPr>
              <w:t>Replace readable and hardcoded passwords</w:t>
            </w:r>
          </w:p>
        </w:tc>
      </w:tr>
      <w:tr>
        <w:trPr>
          <w:cantSplit/>
        </w:trPr>
        <w:tc>
          <w:tcPr>
            <w:tcW w:type="dxa" w:w="680"/>
            <w:shd w:fill="EAF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FFFFFF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28"/>
              </w:rPr>
              <w:t>☑</w:t>
            </w:r>
          </w:p>
        </w:tc>
        <w:tc>
          <w:tcPr>
            <w:tcW w:type="dxa" w:w="8787"/>
            <w:shd w:fill="EAF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FFFFFF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20"/>
              </w:rPr>
              <w:t>Give every model and IDE its own revocable identity</w:t>
            </w:r>
          </w:p>
        </w:tc>
      </w:tr>
      <w:tr>
        <w:trPr>
          <w:cantSplit/>
        </w:trPr>
        <w:tc>
          <w:tcPr>
            <w:tcW w:type="dxa" w:w="680"/>
            <w:shd w:fill="EAF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FFFFFF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00533F"/>
                <w:sz w:val="28"/>
              </w:rPr>
              <w:t>☑</w:t>
            </w:r>
          </w:p>
        </w:tc>
        <w:tc>
          <w:tcPr>
            <w:tcW w:type="dxa" w:w="8787"/>
            <w:shd w:fill="EAF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FFFFFF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20"/>
              </w:rPr>
              <w:t>Enable automated secret scanning and push protection</w:t>
            </w:r>
          </w:p>
        </w:tc>
      </w:tr>
      <w:tr>
        <w:trPr>
          <w:cantSplit/>
        </w:trPr>
        <w:tc>
          <w:tcPr>
            <w:tcW w:type="dxa" w:w="680"/>
            <w:shd w:fill="FFF4D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FFFFFF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59E0B"/>
                <w:sz w:val="28"/>
              </w:rPr>
              <w:t>☐</w:t>
            </w:r>
          </w:p>
        </w:tc>
        <w:tc>
          <w:tcPr>
            <w:tcW w:type="dxa" w:w="8787"/>
            <w:shd w:fill="FFF4D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FFFFFF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20"/>
              </w:rPr>
              <w:t>Allow a particular model temporary access to a named secret</w:t>
            </w:r>
          </w:p>
        </w:tc>
      </w:tr>
      <w:tr>
        <w:trPr>
          <w:cantSplit/>
        </w:trPr>
        <w:tc>
          <w:tcPr>
            <w:tcW w:type="dxa" w:w="680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FFFFFF"/>
            </w:tcBorders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C62828"/>
                <w:sz w:val="28"/>
              </w:rPr>
              <w:t>☒</w:t>
            </w:r>
          </w:p>
        </w:tc>
        <w:tc>
          <w:tcPr>
            <w:tcW w:type="dxa" w:w="8787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FFFFFF"/>
            </w:tcBorders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20"/>
              </w:rPr>
              <w:t>Reuse one password across several platforms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8787"/>
      </w:tblGrid>
      <w:tr>
        <w:tc>
          <w:tcPr>
            <w:tcW w:type="dxa" w:w="4933"/>
            <w:shd w:fill="F4F9DE"/>
            <w:tcBorders>
              <w:top w:val="single" w:sz="10" w:color="00533F"/>
              <w:left w:val="single" w:sz="10" w:color="00533F"/>
              <w:bottom w:val="single" w:sz="10" w:color="00533F"/>
              <w:right w:val="single" w:sz="10" w:color="00533F"/>
            </w:tcBorders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18212A"/>
                <w:sz w:val="40"/>
              </w:rPr>
              <w:t>🎯</w:t>
            </w:r>
          </w:p>
        </w:tc>
        <w:tc>
          <w:tcPr>
            <w:tcW w:type="dxa" w:w="4933"/>
            <w:shd w:fill="F4F9DE"/>
            <w:tcBorders>
              <w:top w:val="single" w:sz="10" w:color="00533F"/>
              <w:left w:val="single" w:sz="10" w:color="00533F"/>
              <w:bottom w:val="single" w:sz="10" w:color="00533F"/>
              <w:right w:val="single" w:sz="10" w:color="00533F"/>
            </w:tcBorders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1233B"/>
                <w:sz w:val="22"/>
              </w:rPr>
              <w:t>Recommended approval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8212A"/>
                <w:sz w:val="19"/>
              </w:rPr>
              <w:t>Approve every preselected item. Leave individual secret access unchecked until a model presents a specific request explaining exactly why the secret is needed.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rFonts w:ascii="Aptos" w:hAnsi="Aptos" w:eastAsia="Aptos"/>
          <w:b/>
          <w:i w:val="0"/>
          <w:color w:val="00533F"/>
          <w:sz w:val="17"/>
        </w:rPr>
        <w:t>EVIDENCE AND REFERENCES</w:t>
      </w:r>
    </w:p>
    <w:p>
      <w:pPr>
        <w:spacing w:after="120"/>
      </w:pPr>
      <w:r>
        <w:rPr>
          <w:rFonts w:ascii="Aptos" w:hAnsi="Aptos" w:eastAsia="Aptos"/>
          <w:b/>
          <w:i w:val="0"/>
          <w:color w:val="11233B"/>
          <w:sz w:val="46"/>
        </w:rPr>
        <w:t>Evidence sources and verification</w:t>
      </w:r>
    </w:p>
    <w:p>
      <w:pPr>
        <w:spacing w:after="200"/>
      </w:pPr>
      <w:r>
        <w:rPr>
          <w:rFonts w:ascii="Aptos" w:hAnsi="Aptos" w:eastAsia="Aptos"/>
          <w:b w:val="0"/>
          <w:i w:val="0"/>
          <w:color w:val="5B6770"/>
          <w:sz w:val="21"/>
        </w:rPr>
        <w:t>No secret value is reproduced in this document.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1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Evidence type</w:t>
            </w:r>
          </w:p>
        </w:tc>
        <w:tc>
          <w:tcPr>
            <w:tcW w:type="dxa" w:w="3289"/>
            <w:shd w:fill="11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Source</w:t>
            </w:r>
          </w:p>
        </w:tc>
        <w:tc>
          <w:tcPr>
            <w:tcW w:type="dxa" w:w="3289"/>
            <w:shd w:fill="11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What it confirms</w:t>
            </w:r>
          </w:p>
        </w:tc>
      </w:tr>
      <w:tr>
        <w:tc>
          <w:tcPr>
            <w:tcW w:type="dxa" w:w="32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Local source</w:t>
            </w:r>
          </w:p>
        </w:tc>
        <w:tc>
          <w:tcPr>
            <w:tcW w:type="dxa" w:w="32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src/tenant.ts</w:t>
            </w:r>
          </w:p>
        </w:tc>
        <w:tc>
          <w:tcPr>
            <w:tcW w:type="dxa" w:w="32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Signed tenant sessions, tenant headers and browser cache isolation.</w:t>
            </w:r>
          </w:p>
        </w:tc>
      </w:tr>
      <w:tr>
        <w:tc>
          <w:tcPr>
            <w:tcW w:type="dxa" w:w="3289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Local source</w:t>
            </w:r>
          </w:p>
        </w:tc>
        <w:tc>
          <w:tcPr>
            <w:tcW w:type="dxa" w:w="3289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functions/index.js</w:t>
            </w:r>
          </w:p>
        </w:tc>
        <w:tc>
          <w:tcPr>
            <w:tcW w:type="dxa" w:w="3289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Authentication, tenant controls, AI access endpoints, token lifecycle and current password handling.</w:t>
            </w:r>
          </w:p>
        </w:tc>
      </w:tr>
      <w:tr>
        <w:tc>
          <w:tcPr>
            <w:tcW w:type="dxa" w:w="32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Local source</w:t>
            </w:r>
          </w:p>
        </w:tc>
        <w:tc>
          <w:tcPr>
            <w:tcW w:type="dxa" w:w="32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firestore.rules and storage.rules</w:t>
            </w:r>
          </w:p>
        </w:tc>
        <w:tc>
          <w:tcPr>
            <w:tcW w:type="dxa" w:w="32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Direct browser database and storage access denial.</w:t>
            </w:r>
          </w:p>
        </w:tc>
      </w:tr>
      <w:tr>
        <w:tc>
          <w:tcPr>
            <w:tcW w:type="dxa" w:w="3289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Local source</w:t>
            </w:r>
          </w:p>
        </w:tc>
        <w:tc>
          <w:tcPr>
            <w:tcW w:type="dxa" w:w="3289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.gitignore</w:t>
            </w:r>
          </w:p>
        </w:tc>
        <w:tc>
          <w:tcPr>
            <w:tcW w:type="dxa" w:w="3289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Environment and service account files excluded from version control.</w:t>
            </w:r>
          </w:p>
        </w:tc>
      </w:tr>
      <w:tr>
        <w:tc>
          <w:tcPr>
            <w:tcW w:type="dxa" w:w="32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Verification</w:t>
            </w:r>
          </w:p>
        </w:tc>
        <w:tc>
          <w:tcPr>
            <w:tcW w:type="dxa" w:w="32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npm run build</w:t>
            </w:r>
          </w:p>
        </w:tc>
        <w:tc>
          <w:tcPr>
            <w:tcW w:type="dxa" w:w="32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Build passed on 19 July 2026. A large JavaScript bundle warning remains.</w:t>
            </w:r>
          </w:p>
        </w:tc>
      </w:tr>
      <w:tr>
        <w:tc>
          <w:tcPr>
            <w:tcW w:type="dxa" w:w="3289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Verification</w:t>
            </w:r>
          </w:p>
        </w:tc>
        <w:tc>
          <w:tcPr>
            <w:tcW w:type="dxa" w:w="3289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11233B"/>
                <w:sz w:val="17"/>
              </w:rPr>
              <w:t>npm run tenant:verify</w:t>
            </w:r>
          </w:p>
        </w:tc>
        <w:tc>
          <w:tcPr>
            <w:tcW w:type="dxa" w:w="3289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18212A"/>
                <w:sz w:val="17"/>
              </w:rPr>
              <w:t>Tenant architecture verification passed.</w:t>
            </w:r>
          </w:p>
        </w:tc>
      </w:tr>
    </w:tbl>
    <w:p>
      <w:pPr>
        <w:spacing w:before="200"/>
      </w:pPr>
      <w:r>
        <w:rPr>
          <w:rFonts w:ascii="Aptos" w:hAnsi="Aptos" w:eastAsia="Aptos"/>
          <w:b/>
          <w:i w:val="0"/>
          <w:color w:val="11233B"/>
          <w:sz w:val="24"/>
        </w:rPr>
        <w:t>Authoritative guidance</w:t>
      </w:r>
    </w:p>
    <w:p>
      <w:pPr>
        <w:pStyle w:val="ExecutiveBullet"/>
      </w:pPr>
      <w:r>
        <w:rPr>
          <w:rFonts w:ascii="Aptos" w:hAnsi="Aptos" w:eastAsia="Aptos"/>
          <w:b/>
          <w:i w:val="0"/>
          <w:color w:val="00533F"/>
          <w:sz w:val="20"/>
        </w:rPr>
        <w:t xml:space="preserve">• </w:t>
      </w:r>
      <w:hyperlink r:id="rId16">
        <w:r>
          <w:rPr>
            <w:color w:val="2563EB"/>
            <w:u w:val="single"/>
            <w:rFonts w:ascii="Aptos" w:hAnsi="Aptos"/>
            <w:sz w:val="20"/>
          </w:rPr>
          <w:t>OWASP Secrets Management Cheat Sheet</w:t>
        </w:r>
      </w:hyperlink>
      <w:r>
        <w:rPr>
          <w:rFonts w:ascii="Aptos" w:hAnsi="Aptos" w:eastAsia="Aptos"/>
          <w:b w:val="0"/>
          <w:i w:val="0"/>
          <w:color w:val="5B6770"/>
          <w:sz w:val="19"/>
        </w:rPr>
        <w:t xml:space="preserve">  Fine grained access, short lifetimes, rotation and auditing.</w:t>
      </w:r>
    </w:p>
    <w:p>
      <w:pPr>
        <w:pStyle w:val="ExecutiveBullet"/>
      </w:pPr>
      <w:r>
        <w:rPr>
          <w:rFonts w:ascii="Aptos" w:hAnsi="Aptos" w:eastAsia="Aptos"/>
          <w:b/>
          <w:i w:val="0"/>
          <w:color w:val="00533F"/>
          <w:sz w:val="20"/>
        </w:rPr>
        <w:t xml:space="preserve">• </w:t>
      </w:r>
      <w:hyperlink r:id="rId17">
        <w:r>
          <w:rPr>
            <w:color w:val="2563EB"/>
            <w:u w:val="single"/>
            <w:rFonts w:ascii="Aptos" w:hAnsi="Aptos"/>
            <w:sz w:val="20"/>
          </w:rPr>
          <w:t>Google Secret Manager access control</w:t>
        </w:r>
      </w:hyperlink>
      <w:r>
        <w:rPr>
          <w:rFonts w:ascii="Aptos" w:hAnsi="Aptos" w:eastAsia="Aptos"/>
          <w:b w:val="0"/>
          <w:i w:val="0"/>
          <w:color w:val="5B6770"/>
          <w:sz w:val="19"/>
        </w:rPr>
        <w:t xml:space="preserve">  IAM based access to individual secrets.</w:t>
      </w:r>
    </w:p>
    <w:p>
      <w:pPr>
        <w:pStyle w:val="ExecutiveBullet"/>
      </w:pPr>
      <w:r>
        <w:rPr>
          <w:rFonts w:ascii="Aptos" w:hAnsi="Aptos" w:eastAsia="Aptos"/>
          <w:b/>
          <w:i w:val="0"/>
          <w:color w:val="00533F"/>
          <w:sz w:val="20"/>
        </w:rPr>
        <w:t xml:space="preserve">• </w:t>
      </w:r>
      <w:hyperlink r:id="rId18">
        <w:r>
          <w:rPr>
            <w:color w:val="2563EB"/>
            <w:u w:val="single"/>
            <w:rFonts w:ascii="Aptos" w:hAnsi="Aptos"/>
            <w:sz w:val="20"/>
          </w:rPr>
          <w:t>GitHub push protection</w:t>
        </w:r>
      </w:hyperlink>
      <w:r>
        <w:rPr>
          <w:rFonts w:ascii="Aptos" w:hAnsi="Aptos" w:eastAsia="Aptos"/>
          <w:b w:val="0"/>
          <w:i w:val="0"/>
          <w:color w:val="5B6770"/>
          <w:sz w:val="19"/>
        </w:rPr>
        <w:t xml:space="preserve">  Prevention of hardcoded credential publication.</w:t>
      </w:r>
    </w:p>
    <w:p>
      <w:pPr>
        <w:pStyle w:val="ExecutiveBullet"/>
      </w:pPr>
      <w:r>
        <w:rPr>
          <w:rFonts w:ascii="Aptos" w:hAnsi="Aptos" w:eastAsia="Aptos"/>
          <w:b/>
          <w:i w:val="0"/>
          <w:color w:val="00533F"/>
          <w:sz w:val="20"/>
        </w:rPr>
        <w:t xml:space="preserve">• </w:t>
      </w:r>
      <w:hyperlink r:id="rId19">
        <w:r>
          <w:rPr>
            <w:color w:val="2563EB"/>
            <w:u w:val="single"/>
            <w:rFonts w:ascii="Aptos" w:hAnsi="Aptos"/>
            <w:sz w:val="20"/>
          </w:rPr>
          <w:t>Firebase Security Rules conditions</w:t>
        </w:r>
      </w:hyperlink>
      <w:r>
        <w:rPr>
          <w:rFonts w:ascii="Aptos" w:hAnsi="Aptos" w:eastAsia="Aptos"/>
          <w:b w:val="0"/>
          <w:i w:val="0"/>
          <w:color w:val="5B6770"/>
          <w:sz w:val="19"/>
        </w:rPr>
        <w:t xml:space="preserve">  Authenticated and role aware data access conditions.</w:t>
      </w:r>
    </w:p>
    <w:p>
      <w:pPr>
        <w:spacing w:before="360"/>
        <w:jc w:val="center"/>
      </w:pPr>
      <w:r>
        <w:rPr>
          <w:rFonts w:ascii="Segoe UI Emoji" w:hAnsi="Segoe UI Emoji" w:eastAsia="Segoe UI Emoji"/>
          <w:b/>
          <w:i w:val="0"/>
          <w:color w:val="00533F"/>
          <w:sz w:val="26"/>
        </w:rPr>
        <w:t>🔐 Broad access to the work. No automatic access to the keys.</w:t>
      </w:r>
    </w:p>
    <w:sectPr w:rsidR="00FC693F" w:rsidRPr="0006063C" w:rsidSect="00034616">
      <w:headerReference w:type="default" r:id="rId14"/>
      <w:footerReference w:type="default" r:id="rId15"/>
      <w:pgSz w:w="11906" w:h="16838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</w:tcPr>
        <w:p>
          <w:r/>
          <w:r>
            <w:rPr>
              <w:rFonts w:ascii="Aptos" w:hAnsi="Aptos" w:eastAsia="Aptos"/>
              <w:b w:val="0"/>
              <w:i w:val="0"/>
              <w:color w:val="5B6770"/>
              <w:sz w:val="16"/>
            </w:rPr>
            <w:t>Prepared for Ayodeji Falope  •  19 July 2026</w:t>
          </w:r>
        </w:p>
      </w:tc>
      <w:tc>
        <w:tcPr>
          <w:tcW w:type="dxa" w:w="4932"/>
        </w:tcPr>
        <w:p>
          <w:pPr>
            <w:jc w:val="right"/>
          </w:pPr>
          <w:r/>
          <w:r>
            <w:rPr>
              <w:rFonts w:ascii="Aptos" w:hAnsi="Aptos" w:eastAsia="Aptos"/>
              <w:b w:val="0"/>
              <w:i w:val="0"/>
              <w:color w:val="5B6770"/>
              <w:sz w:val="16"/>
            </w:rPr>
            <w:t xml:space="preserve">Page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370"/>
      <w:gridCol w:w="7370"/>
    </w:tblGrid>
    <w:tr>
      <w:tc>
        <w:tcPr>
          <w:tcW w:type="dxa" w:w="7370"/>
        </w:tcPr>
        <w:p>
          <w:r/>
          <w:r>
            <w:rPr>
              <w:rFonts w:ascii="Aptos" w:hAnsi="Aptos" w:eastAsia="Aptos"/>
              <w:b w:val="0"/>
              <w:i w:val="0"/>
              <w:color w:val="5B6770"/>
              <w:sz w:val="16"/>
            </w:rPr>
            <w:t>Prepared for Ayodeji Falope  •  19 July 2026</w:t>
          </w:r>
        </w:p>
      </w:tc>
      <w:tc>
        <w:tcPr>
          <w:tcW w:type="dxa" w:w="7370"/>
        </w:tcPr>
        <w:p>
          <w:pPr>
            <w:jc w:val="right"/>
          </w:pPr>
          <w:r/>
          <w:r>
            <w:rPr>
              <w:rFonts w:ascii="Aptos" w:hAnsi="Aptos" w:eastAsia="Aptos"/>
              <w:b w:val="0"/>
              <w:i w:val="0"/>
              <w:color w:val="5B6770"/>
              <w:sz w:val="16"/>
            </w:rPr>
            <w:t xml:space="preserve">Page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</w:tcPr>
        <w:p>
          <w:r/>
          <w:r>
            <w:rPr>
              <w:rFonts w:ascii="Aptos" w:hAnsi="Aptos" w:eastAsia="Aptos"/>
              <w:b w:val="0"/>
              <w:i w:val="0"/>
              <w:color w:val="5B6770"/>
              <w:sz w:val="16"/>
            </w:rPr>
            <w:t>Prepared for Ayodeji Falope  •  19 July 2026</w:t>
          </w:r>
        </w:p>
      </w:tc>
      <w:tc>
        <w:tcPr>
          <w:tcW w:type="dxa" w:w="4932"/>
        </w:tcPr>
        <w:p>
          <w:pPr>
            <w:jc w:val="right"/>
          </w:pPr>
          <w:r/>
          <w:r>
            <w:rPr>
              <w:rFonts w:ascii="Aptos" w:hAnsi="Aptos" w:eastAsia="Aptos"/>
              <w:b w:val="0"/>
              <w:i w:val="0"/>
              <w:color w:val="5B6770"/>
              <w:sz w:val="16"/>
            </w:rPr>
            <w:t xml:space="preserve">Page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4479"/>
    </w:tblGrid>
    <w:tr>
      <w:tc>
        <w:tcPr>
          <w:tcW w:type="dxa" w:w="4932"/>
          <w:tcBorders>
            <w:bottom w:val="single" w:sz="8" w:color="B9E600"/>
          </w:tcBorders>
          <w:tcMar>
            <w:top w:w="20" w:type="dxa"/>
            <w:start w:w="0" w:type="dxa"/>
            <w:bottom w:w="50" w:type="dxa"/>
            <w:end w:w="0" w:type="dxa"/>
          </w:tcMar>
        </w:tcPr>
        <w:p>
          <w:r/>
          <w:r>
            <w:rPr>
              <w:rFonts w:ascii="Aptos" w:hAnsi="Aptos" w:eastAsia="Aptos"/>
              <w:b/>
              <w:i w:val="0"/>
              <w:color w:val="00533F"/>
              <w:sz w:val="18"/>
            </w:rPr>
            <w:t>STAFFIQ</w:t>
          </w:r>
          <w:r>
            <w:rPr>
              <w:rFonts w:ascii="Aptos" w:hAnsi="Aptos" w:eastAsia="Aptos"/>
              <w:b/>
              <w:i w:val="0"/>
              <w:color w:val="5B6770"/>
              <w:sz w:val="16"/>
            </w:rPr>
            <w:t xml:space="preserve">   AI AND IDE ACCESS GOVERNANCE</w:t>
          </w:r>
        </w:p>
      </w:tc>
      <w:tc>
        <w:tcPr>
          <w:tcW w:type="dxa" w:w="4932"/>
          <w:tcBorders>
            <w:bottom w:val="single" w:sz="8" w:color="B9E600"/>
          </w:tcBorders>
          <w:tcMar>
            <w:top w:w="20" w:type="dxa"/>
            <w:start w:w="0" w:type="dxa"/>
            <w:bottom w:w="50" w:type="dxa"/>
            <w:end w:w="0" w:type="dxa"/>
          </w:tcMar>
        </w:tcPr>
        <w:p>
          <w:pPr>
            <w:jc w:val="right"/>
          </w:pPr>
          <w:r/>
          <w:r>
            <w:rPr>
              <w:rFonts w:ascii="Aptos" w:hAnsi="Aptos" w:eastAsia="Aptos"/>
              <w:b/>
              <w:i w:val="0"/>
              <w:color w:val="C62828"/>
              <w:sz w:val="16"/>
            </w:rPr>
            <w:t>PRIVATE EXECUTIVE REPORT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9354"/>
    </w:tblGrid>
    <w:tr>
      <w:tc>
        <w:tcPr>
          <w:tcW w:type="dxa" w:w="7370"/>
          <w:tcBorders>
            <w:bottom w:val="single" w:sz="8" w:color="B9E600"/>
          </w:tcBorders>
          <w:tcMar>
            <w:top w:w="20" w:type="dxa"/>
            <w:start w:w="0" w:type="dxa"/>
            <w:bottom w:w="50" w:type="dxa"/>
            <w:end w:w="0" w:type="dxa"/>
          </w:tcMar>
        </w:tcPr>
        <w:p>
          <w:r/>
          <w:r>
            <w:rPr>
              <w:rFonts w:ascii="Aptos" w:hAnsi="Aptos" w:eastAsia="Aptos"/>
              <w:b/>
              <w:i w:val="0"/>
              <w:color w:val="00533F"/>
              <w:sz w:val="18"/>
            </w:rPr>
            <w:t>STAFFIQ</w:t>
          </w:r>
          <w:r>
            <w:rPr>
              <w:rFonts w:ascii="Aptos" w:hAnsi="Aptos" w:eastAsia="Aptos"/>
              <w:b/>
              <w:i w:val="0"/>
              <w:color w:val="5B6770"/>
              <w:sz w:val="16"/>
            </w:rPr>
            <w:t xml:space="preserve">   AI AND IDE ACCESS GOVERNANCE</w:t>
          </w:r>
        </w:p>
      </w:tc>
      <w:tc>
        <w:tcPr>
          <w:tcW w:type="dxa" w:w="7370"/>
          <w:tcBorders>
            <w:bottom w:val="single" w:sz="8" w:color="B9E600"/>
          </w:tcBorders>
          <w:tcMar>
            <w:top w:w="20" w:type="dxa"/>
            <w:start w:w="0" w:type="dxa"/>
            <w:bottom w:w="50" w:type="dxa"/>
            <w:end w:w="0" w:type="dxa"/>
          </w:tcMar>
        </w:tcPr>
        <w:p>
          <w:pPr>
            <w:jc w:val="right"/>
          </w:pPr>
          <w:r/>
          <w:r>
            <w:rPr>
              <w:rFonts w:ascii="Aptos" w:hAnsi="Aptos" w:eastAsia="Aptos"/>
              <w:b/>
              <w:i w:val="0"/>
              <w:color w:val="C62828"/>
              <w:sz w:val="16"/>
            </w:rPr>
            <w:t>PRIVATE EXECUTIVE REPORT</w:t>
          </w:r>
        </w:p>
      </w:tc>
    </w:tr>
  </w:tbl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4479"/>
    </w:tblGrid>
    <w:tr>
      <w:tc>
        <w:tcPr>
          <w:tcW w:type="dxa" w:w="4932"/>
          <w:tcBorders>
            <w:bottom w:val="single" w:sz="8" w:color="B9E600"/>
          </w:tcBorders>
          <w:tcMar>
            <w:top w:w="20" w:type="dxa"/>
            <w:start w:w="0" w:type="dxa"/>
            <w:bottom w:w="50" w:type="dxa"/>
            <w:end w:w="0" w:type="dxa"/>
          </w:tcMar>
        </w:tcPr>
        <w:p>
          <w:r/>
          <w:r>
            <w:rPr>
              <w:rFonts w:ascii="Aptos" w:hAnsi="Aptos" w:eastAsia="Aptos"/>
              <w:b/>
              <w:i w:val="0"/>
              <w:color w:val="00533F"/>
              <w:sz w:val="18"/>
            </w:rPr>
            <w:t>STAFFIQ</w:t>
          </w:r>
          <w:r>
            <w:rPr>
              <w:rFonts w:ascii="Aptos" w:hAnsi="Aptos" w:eastAsia="Aptos"/>
              <w:b/>
              <w:i w:val="0"/>
              <w:color w:val="5B6770"/>
              <w:sz w:val="16"/>
            </w:rPr>
            <w:t xml:space="preserve">   AI AND IDE ACCESS GOVERNANCE</w:t>
          </w:r>
        </w:p>
      </w:tc>
      <w:tc>
        <w:tcPr>
          <w:tcW w:type="dxa" w:w="4932"/>
          <w:tcBorders>
            <w:bottom w:val="single" w:sz="8" w:color="B9E600"/>
          </w:tcBorders>
          <w:tcMar>
            <w:top w:w="20" w:type="dxa"/>
            <w:start w:w="0" w:type="dxa"/>
            <w:bottom w:w="50" w:type="dxa"/>
            <w:end w:w="0" w:type="dxa"/>
          </w:tcMar>
        </w:tcPr>
        <w:p>
          <w:pPr>
            <w:jc w:val="right"/>
          </w:pPr>
          <w:r/>
          <w:r>
            <w:rPr>
              <w:rFonts w:ascii="Aptos" w:hAnsi="Aptos" w:eastAsia="Aptos"/>
              <w:b/>
              <w:i w:val="0"/>
              <w:color w:val="C62828"/>
              <w:sz w:val="16"/>
            </w:rPr>
            <w:t>PRIVATE EXECUTIVE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color w:val="1821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233B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533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23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1233B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Bullet">
    <w:name w:val="Executive Bullet"/>
    <w:pPr>
      <w:spacing w:after="80"/>
      <w:ind w:left="312" w:hanging="198"/>
    </w:pPr>
    <w:rPr>
      <w:rFonts w:ascii="Aptos" w:hAnsi="Aptos"/>
      <w:color w:val="18212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yperlink" Target="https://cheatsheetseries.owasp.org/cheatsheets/Secrets_Management_Cheat_Sheet.html" TargetMode="External"/><Relationship Id="rId17" Type="http://schemas.openxmlformats.org/officeDocument/2006/relationships/hyperlink" Target="https://docs.cloud.google.com/secret-manager/docs/manage-access-to-secrets" TargetMode="External"/><Relationship Id="rId18" Type="http://schemas.openxmlformats.org/officeDocument/2006/relationships/hyperlink" Target="https://docs.github.com/en/code-security/concepts/secret-security/push-protection" TargetMode="External"/><Relationship Id="rId19" Type="http://schemas.openxmlformats.org/officeDocument/2006/relationships/hyperlink" Target="https://firebase.google.com/docs/firestore/security/rules-cond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StaffiQ AI, IDE Access and Secret Protection Report</dc:title>
  <dc:subject>Executive comparison of completed and outstanding access controls</dc:subject>
  <dc:creator>Codex for Ayodeji Peter Falope</dc:creator>
  <cp:keywords>StaffiQ, AI access, IDE access, secrets, tenant security, governance</cp:keywords>
  <dc:description>Contains no secret values.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