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004331"/>
          <w:sz w:val="44"/>
          <w:szCs w:val="44"/>
        </w:rPr>
        <w:t xml:space="preserve">StaffiQ Website Design &amp; Growth Audit</w:t>
      </w:r>
    </w:p>
    <w:p>
      <w:pPr>
        <w:spacing w:after="20"/>
      </w:pPr>
      <w:r>
        <w:rPr>
          <w:i/>
          <w:iCs/>
          <w:color w:val="566259"/>
          <w:sz w:val="24"/>
          <w:szCs w:val="24"/>
        </w:rPr>
        <w:t xml:space="preserve">www.staffiq.ng — 25 categories, 10 recommendations each</w:t>
      </w:r>
    </w:p>
    <w:p>
      <w:pPr>
        <w:spacing w:after="20"/>
      </w:pPr>
      <w:r>
        <w:rPr>
          <w:color w:val="0A1F17"/>
          <w:sz w:val="22"/>
          <w:szCs w:val="22"/>
        </w:rPr>
        <w:t xml:space="preserve">Prepared for Ayodeji Falope, RevenStrat Integrated Services</w:t>
      </w:r>
    </w:p>
    <w:p>
      <w:pPr>
        <w:spacing w:after="300"/>
      </w:pPr>
      <w:r>
        <w:rPr>
          <w:color w:val="566259"/>
          <w:sz w:val="22"/>
          <w:szCs w:val="22"/>
        </w:rPr>
        <w:t xml:space="preserve">15 July 2026</w:t>
      </w:r>
    </w:p>
    <w:p>
      <w:pPr>
        <w:pBdr>
          <w:bottom w:val="single" w:color="9BD32A" w:sz="6" w:space="4"/>
        </w:pBdr>
        <w:spacing w:after="200"/>
      </w:pPr>
      <w:r>
        <w:t xml:space="preserve"/>
      </w:r>
    </w:p>
    <w:p>
      <w:pPr>
        <w:spacing w:after="200"/>
      </w:pPr>
      <w:r>
        <w:rPr>
          <w:color w:val="0A1F17"/>
          <w:sz w:val="21"/>
          <w:szCs w:val="21"/>
        </w:rPr>
        <w:t xml:space="preserve">This audit reviews the live StaffiQ marketing site as it stands today, including the header, hero and sector-ticker changes made in this session. Every point below is grounded in what is actually on the site or in its source code, not generic filler. Items are written as one-line, actionable recommendations so they can be picked up individually, roughly in order of ease and impact within each category.</w:t>
      </w:r>
    </w:p>
    <w:p>
      <w:pPr>
        <w:spacing w:after="300"/>
      </w:pPr>
      <w:r>
        <w:rPr>
          <w:i/>
          <w:iCs/>
          <w:color w:val="0A1F17"/>
          <w:sz w:val="21"/>
          <w:szCs w:val="21"/>
        </w:rPr>
        <w:t xml:space="preserve">Suggested approach: don't implement all 250 at once. Work category by category, prioritising Categories 1, 2, 7, 8 and 16 first (first impressions, calls to action, trust, and lead capture) since these have the most direct effect on demo bookings, then move to SEO, accessibility and content once the core conversion path is solid.</w:t>
      </w:r>
    </w:p>
    <w:p>
      <w:pPr>
        <w:pStyle w:val="Heading2"/>
        <w:spacing w:after="120" w:before="320"/>
      </w:pPr>
      <w:r>
        <w:rPr>
          <w:b/>
          <w:bCs/>
          <w:color w:val="004331"/>
          <w:sz w:val="26"/>
          <w:szCs w:val="26"/>
        </w:rPr>
        <w:t xml:space="preserve">1. Hero &amp; First Impressions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Keep the new two to three line headline break; avoid future copy edits that push it back to four or more fragmented lines.</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twenty to thirty second product walkthrough video or GIF loop inside the dashboard mock instead of static bars, since motion increases hero engagement.</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Rotate the floating badge between two or three genuine proof points (Compliance 100%, 86% readiness, 3 at risk) so the hero feels alive on repeat visits.</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one line social proof strip directly under the CTA buttons once real client names or logos exist.</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Tighten the lead paragraph to two sentences maximum; the current four sentence lead competes with the headline for attention.</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Test an outcome led headline ("Know who's ready before it costs you") against the current product led version once analytics are wired up.</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subtle count up animation on the KPI numbers (0 to 86%) to draw the eye without being gimmicky.</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Increase contrast between the pill badge text and its white background border on small screens, where it currently reads faint.</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Reserve the right hand mock card for a real, anonymised screenshot once available, replacing illustration with genuine product evidence.</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Test moving "See how it works" to trigger a short video modal rather than an anchor scroll link, which typically converts better.</w:t>
            </w:r>
          </w:p>
        </w:tc>
      </w:tr>
    </w:tbl>
    <w:p>
      <w:pPr>
        <w:pStyle w:val="Heading2"/>
        <w:spacing w:after="120" w:before="320"/>
      </w:pPr>
      <w:r>
        <w:rPr>
          <w:b/>
          <w:bCs/>
          <w:color w:val="004331"/>
          <w:sz w:val="26"/>
          <w:szCs w:val="26"/>
        </w:rPr>
        <w:t xml:space="preserve">2. Header &amp; Navigation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header is now compacted to match TaskPulse's scale; lock this height as the sitewide standard for any future page.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Confirm the active nav pill correctly highlights Features, Pricing and About when visiting those pages, not only Home.</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Consider a 40px scroll threshold before the sticky shadow appears, rather than triggering on any scroll.</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small external link icon beside "Client login" since it leaves the marketing site for the app.</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Re check the 1101 to 1240px mid breakpoint to confirm nav links and the login button no longer crowd each other.</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a subtle divider before the CTA cluster in the header to visually group navigation from action.</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an aria live announcement when the mobile menu opens, for screen reader users.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Confirm the backdrop blur on the sticky header renders acceptably on older Android WebView browsers.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Add light page context (a small page label) in the header area on interior pages for orientation.</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Test a persistent mobile sticky action bar so "Book a demo" is always one tap away without opening the hamburger.</w:t>
            </w:r>
          </w:p>
        </w:tc>
      </w:tr>
    </w:tbl>
    <w:p>
      <w:pPr>
        <w:pStyle w:val="Heading2"/>
        <w:spacing w:after="120" w:before="320"/>
      </w:pPr>
      <w:r>
        <w:rPr>
          <w:b/>
          <w:bCs/>
          <w:color w:val="004331"/>
          <w:sz w:val="26"/>
          <w:szCs w:val="26"/>
        </w:rPr>
        <w:t xml:space="preserve">3. Visual Design &amp; Branding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evergreen and lime palette is distinctive and consistent with TaskPulse; keep it as the unifying RevenStrat suite identity.</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Increase visual differentiation between the cream and sand section backgrounds, which can look near identical on a fast scroll.</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The dashboard mock's dark green gradient card is the strongest visual asset on the page; repeat this treatment more deliberately on interior pages.</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Standardise SVG icon stroke width across the site; some sit at 2, others at 2.2 or 2.4.</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Introduce one signature photography style of real Nigerian workplaces to reduce reliance on abstract mock UI everywhere.</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Consider a subtle texture on the dark evergreen sections to avoid flat colour banding on lower end screens.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Document corner radius usage (pill buttons, 12 to 24px cards) in a short internal style note so future edits stay consistent.</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The lime highlight bar under "ready" is a nice brand signature; reuse it sparingly as an accent elsewhere, such as under key statistics.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The logo mark reads slightly soft at 42px in the new compact header; export a crisper asset tuned specifically for that size.</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Add a dark mode favicon variant, since many Android browsers now support it.</w:t>
            </w:r>
          </w:p>
        </w:tc>
      </w:tr>
    </w:tbl>
    <w:p>
      <w:pPr>
        <w:pStyle w:val="Heading2"/>
        <w:spacing w:after="120" w:before="320"/>
      </w:pPr>
      <w:r>
        <w:rPr>
          <w:b/>
          <w:bCs/>
          <w:color w:val="004331"/>
          <w:sz w:val="26"/>
          <w:szCs w:val="26"/>
        </w:rPr>
        <w:t xml:space="preserve">4. Typography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Space Grotesk display paired with Inter body is a strong, modern choice for an African SME SaaS brand; keep it.</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The new hero line height of 1.14 reads well; apply the same ratio to section h2 headings for rhythm consistency.</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Body copy sits at 17px base, which is fine for desktop; test an 18px minimum for mobile lead paragraphs to aid readability.</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Increase letter spacing slightly on uppercase eyebrow labels at mobile width, where they can look cramped.</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Avoid more than two consecutive short lines in card headings; some feature card titles currently wrap awkwardly at tablet width.</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Use tabular figures for the three pricing amounts so the cards align precisely at a glance.</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Test font loading on a throttled connection to confirm there is no flash of unstyled text on slower Nigerian mobile networks.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Increase the size and weight gap between FAQ question and answer text for faster scanning.</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Rebalance footer column headings against the link text below them; the heading currently reads smaller than ideal.</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Test a slightly larger digit size on the featured Growth pricing card so plan comparison is instant.</w:t>
            </w:r>
          </w:p>
        </w:tc>
      </w:tr>
    </w:tbl>
    <w:p>
      <w:pPr>
        <w:pStyle w:val="Heading2"/>
        <w:spacing w:after="120" w:before="320"/>
      </w:pPr>
      <w:r>
        <w:rPr>
          <w:b/>
          <w:bCs/>
          <w:color w:val="004331"/>
          <w:sz w:val="26"/>
          <w:szCs w:val="26"/>
        </w:rPr>
        <w:t xml:space="preserve">5. Colour &amp; Contrast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Evergreen 700 on cream already passes WCAG AA for body text; protect this pairing in future edits.</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Check the amber tagline colour against the light header background at small sizes; it is close to the AA threshold.</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Lime should remain a decorative highlight only; confirm no CTA ever relies on lime text alone on a white background.</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The muted grey body text on the sand background is close to the 4.5 to 1 minimum; consider one shade darker for safety.</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The coral "3 people at risk" badge is currently the only warning colour on the page; reuse a matching accent in pricing or FAQ risk callouts for consistency.</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Dark evergreen sections already use white or near white text at good contrast; keep this pattern for any new dark section.</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colour shift, not only a shadow and transform, to button hover states for users with reduced motion enabled.</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Confirm the emerald focus outline remains visible against dark evergreen sections, which may need a lighter outline colour there.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Increase the sector ticker pill border contrast slightly so pills read more clearly as pausable, hoverable elements.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Turn the existing CSS colour tokens into a one page internal brand sheet for briefing designers or contractors quickly.</w:t>
            </w:r>
          </w:p>
        </w:tc>
      </w:tr>
    </w:tbl>
    <w:p>
      <w:pPr>
        <w:pStyle w:val="Heading2"/>
        <w:spacing w:after="120" w:before="320"/>
      </w:pPr>
      <w:r>
        <w:rPr>
          <w:b/>
          <w:bCs/>
          <w:color w:val="004331"/>
          <w:sz w:val="26"/>
          <w:szCs w:val="26"/>
        </w:rPr>
        <w:t xml:space="preserve">6. Copywriting &amp; Messaging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headline is now benefit led ("Know who is ready"); keep testing shorter alternatives, since eight words or fewer is a common benchmark.</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Lead with the outcome before the feature in the hero paragraph, which currently leans feature first.</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"The cost of guesswork" section is some of the sharpest copy on the site; consider reusing a version of this line in future ad creative.</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Pick one primary market descriptor (Nigerian or African SMEs) and keep the other as a supporting mention only, for consistency.</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FAQ answers are honestly hedged with no compliance over promising; protect this cautious tone as a genuine differentiator.</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one plain "who this is not for" line somewhere on the site; disqualifying copy builds trust and improves lead quality.</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Tighten the pricing teaser copy, which currently repeats "level of support" across two consecutive sentences.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Extend the specific, confident voice used in the Training catalogue descriptions to the more generic Features page cards.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Add a short, humanising founder note on the About page; RevenStrat's thirty years of consulting is a real, underused trust signal.</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Keep naira formatting (symbol before the figure, comma thousands separator) consistent as new pages are written.</w:t>
            </w:r>
          </w:p>
        </w:tc>
      </w:tr>
    </w:tbl>
    <w:p>
      <w:pPr>
        <w:pStyle w:val="Heading2"/>
        <w:spacing w:after="120" w:before="320"/>
      </w:pPr>
      <w:r>
        <w:rPr>
          <w:b/>
          <w:bCs/>
          <w:color w:val="004331"/>
          <w:sz w:val="26"/>
          <w:szCs w:val="26"/>
        </w:rPr>
        <w:t xml:space="preserve">7. Calls to 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Nav and button CTA labels are now unified to "Book a demo"; keep this as the single primary action label sitewide going forward.</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CTA directly after the FAQ section on interior pages, not only on the homepage.</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Give "See how it works" a small play icon so it visually reads as a softer, secondary action against the primary button.</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Keep pairing one firm CTA with one soft CTA per section, as the pricing cards already do well with "Book a demo" and "View plan".</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a WhatsApp quick contact CTA once a business number is confirmed; Nigerian SME buyers often respond faster there than by form.</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 persistent mobile sticky action bar (Book a demo plus WhatsApp) is the single highest leverage addition from this whole audit, once implemented carefully.</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Keep CTA copy free of urgency or scarcity language, consistent with the brand's calm, evidence led tone.</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Place the "no card required" style reassurance directly beside the primary hero CTA, not only lower in the proof row.</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Add a compact CTA strip above the footer, which currently has no call to action at all.</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Once analytics exist, test "Book a demo" against "See StaffiQ in action" and "Talk to us" as a simple experiment.</w:t>
            </w:r>
          </w:p>
        </w:tc>
      </w:tr>
    </w:tbl>
    <w:p>
      <w:pPr>
        <w:pStyle w:val="Heading2"/>
        <w:spacing w:after="120" w:before="320"/>
      </w:pPr>
      <w:r>
        <w:rPr>
          <w:b/>
          <w:bCs/>
          <w:color w:val="004331"/>
          <w:sz w:val="26"/>
          <w:szCs w:val="26"/>
        </w:rPr>
        <w:t xml:space="preserve">8. Trust &amp; Social Proof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No client logos, testimonials or usage numbers currently appear anywhere on the site; this is the single biggest credibility gap for a paid B2B platform.</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clearly labelled "early access partners" placeholder section rather than any fabricated logo or number.</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Feature RevenStrat's thirty year consulting pedigree far more prominently than the current single footer mention, since it is real and verifiable.</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short, factual "why we built this" story tying StaffiQ to real consulting engagements without inventing client specifics.</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Send a short outreach sequence to pilot customers asking for a testimonial, using a simple situation, problem, solution, result framework.</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named leadership bios with photographs and real credentials to the About page.</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short, honest paragraph on how customer data is protected, even before any formal certification exists.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 simple counter strip once numbers are real and verifiable, such as organisations trained or assessments completed.</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Repurpose genuine media or panel appearances as founder credibility content, clearly separated from product claims.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Add a "no pressure" reassurance line near every demo CTA to reduce the perceived risk of a first sales call.</w:t>
            </w:r>
          </w:p>
        </w:tc>
      </w:tr>
    </w:tbl>
    <w:p>
      <w:pPr>
        <w:pStyle w:val="Heading2"/>
        <w:spacing w:after="120" w:before="320"/>
      </w:pPr>
      <w:r>
        <w:rPr>
          <w:b/>
          <w:bCs/>
          <w:color w:val="004331"/>
          <w:sz w:val="26"/>
          <w:szCs w:val="26"/>
        </w:rPr>
        <w:t xml:space="preserve">9. Pricing 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three tier Starter, Growth and Command structure with minimum user counts is already clear and consistent with TaskPulse.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full plan comparison table on the dedicated pricing page, going deeper than the homepage teaser.</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Add an interactive headcount calculator that estimates monthly cost per plan instantly.</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State clearly whether prices include or exclude VAT, since Nigerian buyers will ask this early.</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Offer annual billing with a stated discount if commercially approved, to improve cash flow and reduce churn.</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Flag Command with a short descriptor such as "best for multi branch" so all three cards feel deliberately positioned.</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short note on what happens below the stated minimum user count.</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State cancellation and refund terms briefly on this page, or link to them, since none currently exist anywhere on the site.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Visually separate software subscription cost from implementation or custom content cost so buyers do not assume hidden fees.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Test moving the FAQ section higher on the pricing page specifically, since pricing pages carry the highest objection density.</w:t>
            </w:r>
          </w:p>
        </w:tc>
      </w:tr>
    </w:tbl>
    <w:p>
      <w:pPr>
        <w:pStyle w:val="Heading2"/>
        <w:spacing w:after="120" w:before="320"/>
      </w:pPr>
      <w:r>
        <w:rPr>
          <w:b/>
          <w:bCs/>
          <w:color w:val="004331"/>
          <w:sz w:val="26"/>
          <w:szCs w:val="26"/>
        </w:rPr>
        <w:t xml:space="preserve">10. Features 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Feature cards are clean, but several read generically; bring the same specificity used in the Training catalogue copy to every card.</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real, or clearly mocked and labelled, screenshots per feature instead of repeating the same abstract dashboard illustration.</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Group features explicitly by the three audiences (employee, administrator, leader), mirroring the existing homepage role tabs.</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short table of contents at the top of the page for quick jump to, since the page is long.</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Cross link each feature card to the matching FAQ answer where one already exists.</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a clearly labelled roadmap or "coming soon" section if any exists, since transparency builds trust with technical buyers.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Give the skill mastery heat map its own expanded section, since it is one of the most differentiated capabilities on the platform.</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 short comparison against manual spreadsheet tracking, the real competitor for most SMEs.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End the page with a consistent "Book a demo" band, matching the sitewide CTA system.</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Consider a short embedded demo video near the top of this specific page, since Features visitors carry the highest intent.</w:t>
            </w:r>
          </w:p>
        </w:tc>
      </w:tr>
    </w:tbl>
    <w:p>
      <w:pPr>
        <w:pStyle w:val="Heading2"/>
        <w:spacing w:after="120" w:before="320"/>
      </w:pPr>
      <w:r>
        <w:rPr>
          <w:b/>
          <w:bCs/>
          <w:color w:val="004331"/>
          <w:sz w:val="26"/>
          <w:szCs w:val="26"/>
        </w:rPr>
        <w:t xml:space="preserve">11. Mobile Responsiveness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recent responsiveness pass already covers phone, tablet, laptop and desktop widths; build on this foundation rather than starting over.</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Re verify the new compact header specifically at the narrowest supported width for any text truncation.</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Confirm hero CTA buttons still meet a 44px minimum tap target height after the recent size reduction.</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Confirm the sector ticker has an equivalent pause on tap for touch only devices, which have no hover state.</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Test the mobile menu open and close behaviour on a real Android device, not only desktop developer tools.</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Confirm the "most popular" pricing badge does not clip at the card edge on the smallest supported width.</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Default long sections such as FAQ to a fully collapsed state on mobile to reduce scroll fatigue.</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Confirm adequate tap spacing in the footer link grid, a common last mile drop off point.</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Test image loading behaviour on a throttled connection representative of real Nigerian mobile networks outside major cities.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Confirm the sticky header does not consume too much vertical space on short mobile viewports even after the recent compaction.</w:t>
            </w:r>
          </w:p>
        </w:tc>
      </w:tr>
    </w:tbl>
    <w:p>
      <w:pPr>
        <w:pStyle w:val="Heading2"/>
        <w:spacing w:after="120" w:before="320"/>
      </w:pPr>
      <w:r>
        <w:rPr>
          <w:b/>
          <w:bCs/>
          <w:color w:val="004331"/>
          <w:sz w:val="26"/>
          <w:szCs w:val="26"/>
        </w:rPr>
        <w:t xml:space="preserve">12. Page Speed &amp;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CSS and JS already use short lived cache headers with version query strings, avoiding the earlier stale cache ticker issue recurring.</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Image assets are cached as immutable for one year; confirm this only applies to assets that genuinely never change.</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Consider self hosting the two Google Font families to remove a third party request for a small, genuine speed gain.</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explicit width and height on every image to prevent layout shift as the page loads.</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Lazy load any raster images added below the fold in future sections.</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Periodically audit total stylesheet size to confirm unused rules are not silently accumulating as the site grows.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Confirm CSS and JS are minified at build time to reduce transfer size on slow connections.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Pay particular attention to Largest Contentful Paint on the hero, since the dashboard mock is the largest above the fold element.</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Avoid adding heavy third party scripts, such as chat widgets or ad pixels, until they are genuinely needed.</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Run a Lighthouse audit after each major release and keep a simple running log of the score.</w:t>
            </w:r>
          </w:p>
        </w:tc>
      </w:tr>
    </w:tbl>
    <w:p>
      <w:pPr>
        <w:pStyle w:val="Heading2"/>
        <w:spacing w:after="120" w:before="320"/>
      </w:pPr>
      <w:r>
        <w:rPr>
          <w:b/>
          <w:bCs/>
          <w:color w:val="004331"/>
          <w:sz w:val="26"/>
          <w:szCs w:val="26"/>
        </w:rPr>
        <w:t xml:space="preserve">13. SEO (On-page)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homepage title tag and meta description are well written and keyword relevant; apply this same standard to every page.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Give Features, Pricing, About, Training and Contact fully unique titles and descriptions if not already distinct.</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Maintain the current single H1 per page discipline as new pages are added.</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Link from any future blog or resource content back to Pricing and Features using descriptive anchor text rather than "click here".</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functional alt text to real content images, such as "StaffiQ skills mastery heat map by department", leaving genuinely decorative icons blank.</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FAQPage structured data to the existing FAQ section, a low risk gain since the content already exists.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Organization and SoftwareApplication structured data referencing only real, current information.</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Target one distinct primary keyword per page so pages do not compete with each other in search.</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Build a simple resource section addressing genuine SME workforce questions, since none currently exists.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Keep Lagos and Nigeria contact details consistent across the footer, About page and any future Google Business Profile.</w:t>
            </w:r>
          </w:p>
        </w:tc>
      </w:tr>
    </w:tbl>
    <w:p>
      <w:pPr>
        <w:pStyle w:val="Heading2"/>
        <w:spacing w:after="120" w:before="320"/>
      </w:pPr>
      <w:r>
        <w:rPr>
          <w:b/>
          <w:bCs/>
          <w:color w:val="004331"/>
          <w:sz w:val="26"/>
          <w:szCs w:val="26"/>
        </w:rPr>
        <w:t xml:space="preserve">14. SEO (Technical)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homepage canonical tag is already correctly set; confirm every interior page has its own self referencing canonical.</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Sitemap.xml and robots.txt already exist; resubmit the sitemap after any future URL structure change.</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Consider enabling clean URLs without the .html extension for a more professional, memorable structure.</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Confirm the 404 page returns a genuine HTTP 404 status rather than 200, so search engines do not index broken URLs.</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The existing CSP, X-Frame-Options and Referrer-Policy headers are genuinely strong for an SME site; keep this documented as a quiet trust signal.</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explicit en-NG language signalling if the site ever expands to other African market variants.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Check for duplicate content between homepage sections and the dedicated Features and Pricing pages, which currently repeat similar copy.</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Set up Google Search Console and Bing Webmaster Tools verification if not already in place.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Confirm the apex to www redirect (already live per the deployment log) remains the single consistent canonical host.</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Extend the existing verify-site.mjs script to periodically check for broken internal links as pages are added.</w:t>
            </w:r>
          </w:p>
        </w:tc>
      </w:tr>
    </w:tbl>
    <w:p>
      <w:pPr>
        <w:pStyle w:val="Heading2"/>
        <w:spacing w:after="120" w:before="320"/>
      </w:pPr>
      <w:r>
        <w:rPr>
          <w:b/>
          <w:bCs/>
          <w:color w:val="004331"/>
          <w:sz w:val="26"/>
          <w:szCs w:val="26"/>
        </w:rPr>
        <w:t xml:space="preserve">15. Accessibility (WCAG)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skip to content link is already implemented, a baseline many SME sites miss entirely.</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Confirm the focus visible outline remains legible against every background colour used, including the new hairline header.</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Confirm FAQ answer regions are properly associated with their question buttons via aria-controls or adjacent structure.</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The sector ticker already pauses on focus and respects reduced motion preference; keep this pattern for any future animated element.</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Confirm state is never signalled by colour alone; the active nav link already uses aria-current, which is good practice to maintain.</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Trap keyboard focus inside the mobile menu while open and return focus to the toggle button on close.</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Mark decorative SVG icons inside buttons as aria-hidden, letting the button itself carry the accessible label.</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Use real label elements, not only placeholder text, on every form field in the rebuilt contact form.</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Add an automated accessibility scan to the existing verify-site.mjs script so regressions are caught before deploy.</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Test the full site with a screen reader at least once per quarter as it grows in complexity.</w:t>
            </w:r>
          </w:p>
        </w:tc>
      </w:tr>
    </w:tbl>
    <w:p>
      <w:pPr>
        <w:pStyle w:val="Heading2"/>
        <w:spacing w:after="120" w:before="320"/>
      </w:pPr>
      <w:r>
        <w:rPr>
          <w:b/>
          <w:bCs/>
          <w:color w:val="004331"/>
          <w:sz w:val="26"/>
          <w:szCs w:val="26"/>
        </w:rPr>
        <w:t xml:space="preserve">16. Forms &amp; Lead Capture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current demo request flow reportedly opens the visitor's email client, a real conversion killer on phones with no email app configured.</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Replace it with an in page form posting to a backend, using the Firebase Functions already present in this stack.</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Keep the first submission short (name, work email, phone, company) and collect deeper detail on a follow up call.</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inline validation with specific, plain language error messages rather than a generic invalid input notice.</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a lightweight spam check, since the form will be public and unauthenticated.</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Preserve entered field values if a submission fails validation, rather than clearing the form.</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clear, reassuring success state explaining exactly what happens next and by when.</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 privacy consent checkbox linked to a genuine privacy notice, which does not currently exist on the public site.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Track form starts against completions once analytics are added, to measure and improve completion rate.</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Offer an optional calendar booking step immediately after submission for visitors ready to commit right away.</w:t>
            </w:r>
          </w:p>
        </w:tc>
      </w:tr>
    </w:tbl>
    <w:p>
      <w:pPr>
        <w:pStyle w:val="Heading2"/>
        <w:spacing w:after="120" w:before="320"/>
      </w:pPr>
      <w:r>
        <w:rPr>
          <w:b/>
          <w:bCs/>
          <w:color w:val="004331"/>
          <w:sz w:val="26"/>
          <w:szCs w:val="26"/>
        </w:rPr>
        <w:t xml:space="preserve">17. Footer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Add a short CTA strip to the footer, which currently contains no call to action at all.</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the RevenStrat Integrated Services registration or location detail for extra legitimacy alongside the existing brand blurb.</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Add Privacy, Terms and Cookie Notice links once those pages exist, since none are currently present.</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Either build a genuine partners page or relabel the current "Partners" link, which points to the general contact page.</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a LinkedIn link if an active company profile exists, given the B2B consulting audience.</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a compact sitemap style link group once industry and resource pages are built, aiding both users and search engines.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Consolidate the repeated "Contact" entries currently appearing under both Company and Get in touch.</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 business registration number if the brand wants extra formality for enterprise leaning Command tier buyers.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Manually check footer link contrast against the dark evergreen background given how much text is packed into that area.</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Turn the existing "Built in Lagos" line into a small visual badge to reinforce local market trust.</w:t>
            </w:r>
          </w:p>
        </w:tc>
      </w:tr>
    </w:tbl>
    <w:p>
      <w:pPr>
        <w:pStyle w:val="Heading2"/>
        <w:spacing w:after="120" w:before="320"/>
      </w:pPr>
      <w:r>
        <w:rPr>
          <w:b/>
          <w:bCs/>
          <w:color w:val="004331"/>
          <w:sz w:val="26"/>
          <w:szCs w:val="26"/>
        </w:rPr>
        <w:t xml:space="preserve">18. Imagery &amp; Product Screenshots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site currently uses illustrated dashboard mock ups rather than real product screenshots; replacing these should be the top visual priority once the product is stable enough to capture.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Use consistent device framing across every real screenshot for visual coherence once they exist.</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Use realistic but clearly fictional demonstration data in any real screenshot, never real customer data.</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short caption under each product image explaining what it shows, which also doubles as SEO friendly alt text.</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Consider a short, muted, autoplay screen recording for the hero once real product footage exists.</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Keep the current green and lime colour treatment consistent in any real screenshots so they do not clash with the site's palette.</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a genuine mobile experience screenshot, since the copy repeatedly emphasises phone accessibility without ever visually proving it.</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Vary the dashboard composition (KPI, chart, list) across sections so repeated scrolling does not feel repetitive.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Serve images in WebP with a fallback format, consistent with the existing favicon and logo approach.</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Build a simple internal image library once real screenshots exist, to keep future additions consistent without repeated review.</w:t>
            </w:r>
          </w:p>
        </w:tc>
      </w:tr>
    </w:tbl>
    <w:p>
      <w:pPr>
        <w:pStyle w:val="Heading2"/>
        <w:spacing w:after="120" w:before="320"/>
      </w:pPr>
      <w:r>
        <w:rPr>
          <w:b/>
          <w:bCs/>
          <w:color w:val="004331"/>
          <w:sz w:val="26"/>
          <w:szCs w:val="26"/>
        </w:rPr>
        <w:t xml:space="preserve">19. Content Marketing / Resource Hub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No blog or downloadable resource currently exists; this is the biggest missed opportunity for organic traffic and repeat visits before a buyer is ready to talk to sales.</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Start with three or four genuinely useful downloadable templates, such as a training needs assessment or onboarding checklist, that double as lead magnets.</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Gate higher value downloads behind an email address while keeping lighter blog content fully open for search reach.</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Build content around specific SME pain points, such as telling a training problem apart from a people problem, rather than generic HR content.</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Reuse Ayodeji's genuine consulting experience and past survey findings as original content no competitor can easily copy.</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Publish on a realistic, sustainable cadence, even monthly, rather than an ambitious calendar likely to stall.</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Cross link every resource back to the relevant product feature or pricing plan.</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an email capture at the end of every article, not only on gated downloads.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Repurpose existing radio, panel and EDC Alumni appearances as founder credibility content on the resource hub.</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Track which resource topics actually lead to demo bookings, and invest further only in those themes.</w:t>
            </w:r>
          </w:p>
        </w:tc>
      </w:tr>
    </w:tbl>
    <w:p>
      <w:pPr>
        <w:pStyle w:val="Heading2"/>
        <w:spacing w:after="120" w:before="320"/>
      </w:pPr>
      <w:r>
        <w:rPr>
          <w:b/>
          <w:bCs/>
          <w:color w:val="004331"/>
          <w:sz w:val="26"/>
          <w:szCs w:val="26"/>
        </w:rPr>
        <w:t xml:space="preserve">20. Analytics &amp; Conversion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No analytics platform currently appears to be installed; this is the necessary first step before any other testing in this audit can be measured.</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Install a privacy respecting analytics setup, with a cookie notice if required.</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Define and document a short first list of key events: demo form started, demo form completed, pricing viewed, WhatsApp clicked, client login clicked.</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Track scroll depth on the homepage to see how far visitors actually get down the current long single page layout.</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consistent UTM parameters to every campaign, including radio appearances and EDC events, so traffic sources are attributable.</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Keep a simple monthly dashboard of visitors, leads and conversion rate by page rather than relying on raw exports.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Track drop off specifically on the new demo form once built, to find and fix the weakest step.</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Avoid adding tracking scripts before they are genuinely needed, such as ad pixels before any paid campaign exists.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Disclose analytics use plainly in a privacy notice once written.</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Review analytics monthly against this audit to see which fixes actually moved the numbers, not only which felt right.</w:t>
            </w:r>
          </w:p>
        </w:tc>
      </w:tr>
    </w:tbl>
    <w:p>
      <w:pPr>
        <w:pStyle w:val="Heading2"/>
        <w:spacing w:after="120" w:before="320"/>
      </w:pPr>
      <w:r>
        <w:rPr>
          <w:b/>
          <w:bCs/>
          <w:color w:val="004331"/>
          <w:sz w:val="26"/>
          <w:szCs w:val="26"/>
        </w:rPr>
        <w:t xml:space="preserve">21. Security &amp; Privacy Trust Signals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existing CSP, X-Frame-Options and HSTS headers are genuinely strong and worth quietly surfacing as a trust signal to technical buyers.</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short, honest security and data page describing real practices, without claiming certifications the business does not hold.</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Write a proper privacy notice before collecting lead data through any new form, given Nigerian data protection expectations.</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cookie consent messaging once analytics or tracking cookies are introduced.</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State data retention and account deletion practices in plain language once the privacy notice exists.</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a visible, monitored security contact so anyone who finds an issue has a clear, safe way to report it.</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Never display real client data in marketing screenshots, dashboards or case studies, always clearly fictional demonstration data.</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Document internally who can access lead and customer data as the team grows.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Delegate any future payment handling to a compliant processor rather than handling card data directly.</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Revisit this category every time a new integration, such as a CRM or calendar tool, is added, since each expands the data sharing footprint.</w:t>
            </w:r>
          </w:p>
        </w:tc>
      </w:tr>
    </w:tbl>
    <w:p>
      <w:pPr>
        <w:pStyle w:val="Heading2"/>
        <w:spacing w:after="120" w:before="320"/>
      </w:pPr>
      <w:r>
        <w:rPr>
          <w:b/>
          <w:bCs/>
          <w:color w:val="004331"/>
          <w:sz w:val="26"/>
          <w:szCs w:val="26"/>
        </w:rPr>
        <w:t xml:space="preserve">22. FAQ &amp; Objection Handling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existing FAQ is honest and well hedged, with no over promised compliance or offline claims; protect this as new questions are added.</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pricing specific question on why per user pricing rather than a flat fee, a common question from Nigerian SMEs used to flat software costs.</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Add questions on cancellation and contract lock in, currently unaddressed anywhere on the site.</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a question on trying before committing, even if the honest answer is a guided demo rather than a free trial.</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a question on data ownership on exit, which matters to SMEs wary of vendor lock in.</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Group FAQs by theme, such as Product, Pricing, Implementation and Data, once the list grows past eight or nine questions.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Add FAQPage structured data so these already strong answers can appear directly in Google search results.</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Test placing a condensed three question FAQ directly on the pricing page itself, where objection density is highest.</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Periodically ask whoever runs demo calls what objections actually come up, and feed the real ones back into this list.</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Keep every answer in the same calm, non defensive tone already established, even for harder questions like cancellation.</w:t>
            </w:r>
          </w:p>
        </w:tc>
      </w:tr>
    </w:tbl>
    <w:p>
      <w:pPr>
        <w:pStyle w:val="Heading2"/>
        <w:spacing w:after="120" w:before="320"/>
      </w:pPr>
      <w:r>
        <w:rPr>
          <w:b/>
          <w:bCs/>
          <w:color w:val="004331"/>
          <w:sz w:val="26"/>
          <w:szCs w:val="26"/>
        </w:rPr>
        <w:t xml:space="preserve">23. Cross-sell (TaskPulse Ecosystem)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The "two products, one connected team" section is a smart, already differentiated position few competitors can match.</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Confirm TaskPulse's own site links back to StaffiQ, so the ecosystem story is reinforced from both directions.</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Add a bundled pricing row directly on the Pricing page once bundle terms are finalised, rather than only an "ask about the bundle" link.</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Add one joint case study or joint FAQ answer once real customers use both products together.</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Keep the already close visual consistency between the two sites, reinforced by the header compaction made in this session.</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Add a shared RevenStrat parent brand mention in both footers for extra legitimacy.</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Test whether introducing the bundle earlier in the homepage narrative improves average deal size.</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Track bundle interest clicks separately once analytics are wired up, to gauge real demand before investing further.</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Add a simple explainer graphic showing how the two data sets combine, to make the pitch concrete rather than abstract.</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Keep the ecosystem section honest about what is integrated today versus what remains roadmap.</w:t>
            </w:r>
          </w:p>
        </w:tc>
      </w:tr>
    </w:tbl>
    <w:p>
      <w:pPr>
        <w:pStyle w:val="Heading2"/>
        <w:spacing w:after="120" w:before="320"/>
      </w:pPr>
      <w:r>
        <w:rPr>
          <w:b/>
          <w:bCs/>
          <w:color w:val="004331"/>
          <w:sz w:val="26"/>
          <w:szCs w:val="26"/>
        </w:rPr>
        <w:t xml:space="preserve">24. Onboarding / Sales Funnel Clarity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No implementation or onboarding information currently exists anywhere on the public site, and unclear next steps are a common reason Nigerian SMEs hesitate on new software.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Add a short, honest "what happens after you book a demo" section, even before a full implementation page exists.</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Set realistic time to value expectations, such as a typical number of weeks to go live, once genuinely known.</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Clarify who does the setup work, since unclear division of labour is a common hidden cost concern for smaller teams.</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Add a downloadable onboarding checklist once the process is documented, doubling as a resource hub lead magnet.</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Distinguish clearly between the software subscription and any one off implementation or custom content fees.</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State what training or support is included at each pricing tier, currently invisible anywhere on the site.</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Add a simple customer journey diagram, from enquiry to demo to setup to live, on the About or Pricing page.</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Base this information on what the real sales process actually does today, rather than an idealised process not yet in practice.</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Revisit and simplify this section once real customer feedback shows where actual confusion happens during onboarding.</w:t>
            </w:r>
          </w:p>
        </w:tc>
      </w:tr>
    </w:tbl>
    <w:p>
      <w:pPr>
        <w:pStyle w:val="Heading2"/>
        <w:spacing w:after="120" w:before="320"/>
      </w:pPr>
      <w:r>
        <w:rPr>
          <w:b/>
          <w:bCs/>
          <w:color w:val="004331"/>
          <w:sz w:val="26"/>
          <w:szCs w:val="26"/>
        </w:rPr>
        <w:t xml:space="preserve">25. Ongoing Testing &amp; Optimisation Culture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8700"/>
      </w:tblGrid>
      <w:tr>
        <w:trPr>
          <w:tblHeader/>
        </w:trPr>
        <w:tc>
          <w:tcPr>
            <w:tcW w:type="dxa" w:w="700"/>
            <w:shd w:fill="004331" w:val="clear"/>
            <w:tcMar>
              <w:top w:type="dxa" w:w="80"/>
              <w:left w:type="dxa" w:w="100"/>
              <w:bottom w:type="dxa" w:w="80"/>
              <w:right w:type="dxa" w:w="100"/>
            </w:tcMar>
          </w:tcPr>
          <w:p>
            <w:r>
              <w:rPr>
                <w:b/>
                <w:bCs/>
                <w:color w:val="FFFFFF"/>
                <w:sz w:val="20"/>
                <w:szCs w:val="20"/>
              </w:rPr>
              <w:t xml:space="preserve">#</w:t>
            </w:r>
          </w:p>
        </w:tc>
        <w:tc>
          <w:tcPr>
            <w:tcW w:type="dxa" w:w="8700"/>
            <w:shd w:fill="004331" w:val="clear"/>
            <w:tcMar>
              <w:top w:type="dxa" w:w="80"/>
              <w:left w:type="dxa" w:w="100"/>
              <w:bottom w:type="dxa" w:w="80"/>
              <w:right w:type="dxa" w:w="100"/>
            </w:tcMar>
          </w:tcPr>
          <w:p>
            <w:r>
              <w:rPr>
                <w:b/>
                <w:bCs/>
                <w:color w:val="FFFFFF"/>
                <w:sz w:val="20"/>
                <w:szCs w:val="20"/>
              </w:rPr>
              <w:t xml:space="preserve">Recommendation</w:t>
            </w:r>
          </w:p>
        </w:tc>
      </w:tr>
      <w:tr>
        <w:tc>
          <w:tcPr>
            <w:tcW w:type="dxa" w:w="700"/>
            <w:shd w:fill="F7F5EE" w:val="clear"/>
            <w:tcMar>
              <w:top w:type="dxa" w:w="80"/>
              <w:left w:type="dxa" w:w="100"/>
              <w:bottom w:type="dxa" w:w="80"/>
              <w:right w:type="dxa" w:w="100"/>
            </w:tcMar>
          </w:tcPr>
          <w:p>
            <w:r>
              <w:rPr>
                <w:b/>
                <w:bCs/>
                <w:color w:val="004331"/>
                <w:sz w:val="19"/>
                <w:szCs w:val="19"/>
              </w:rPr>
              <w:t xml:space="preserve">1</w:t>
            </w:r>
          </w:p>
        </w:tc>
        <w:tc>
          <w:tcPr>
            <w:tcW w:type="dxa" w:w="8700"/>
            <w:shd w:fill="F7F5EE" w:val="clear"/>
            <w:tcMar>
              <w:top w:type="dxa" w:w="80"/>
              <w:left w:type="dxa" w:w="100"/>
              <w:bottom w:type="dxa" w:w="80"/>
              <w:right w:type="dxa" w:w="100"/>
            </w:tcMar>
          </w:tcPr>
          <w:p>
            <w:r>
              <w:rPr>
                <w:color w:val="0A1F17"/>
                <w:sz w:val="19"/>
                <w:szCs w:val="19"/>
              </w:rPr>
              <w:t xml:space="preserve">Nothing on the site currently appears to be tracked or tested; start with one analytics platform and five key events before any formal experimentation programme.</w:t>
            </w:r>
          </w:p>
        </w:tc>
      </w:tr>
      <w:tr>
        <w:tc>
          <w:tcPr>
            <w:tcW w:type="dxa" w:w="700"/>
            <w:shd w:fill="FFFFFF" w:val="clear"/>
            <w:tcMar>
              <w:top w:type="dxa" w:w="80"/>
              <w:left w:type="dxa" w:w="100"/>
              <w:bottom w:type="dxa" w:w="80"/>
              <w:right w:type="dxa" w:w="100"/>
            </w:tcMar>
          </w:tcPr>
          <w:p>
            <w:r>
              <w:rPr>
                <w:b/>
                <w:bCs/>
                <w:color w:val="004331"/>
                <w:sz w:val="19"/>
                <w:szCs w:val="19"/>
              </w:rPr>
              <w:t xml:space="preserve">2</w:t>
            </w:r>
          </w:p>
        </w:tc>
        <w:tc>
          <w:tcPr>
            <w:tcW w:type="dxa" w:w="8700"/>
            <w:shd w:fill="FFFFFF" w:val="clear"/>
            <w:tcMar>
              <w:top w:type="dxa" w:w="80"/>
              <w:left w:type="dxa" w:w="100"/>
              <w:bottom w:type="dxa" w:w="80"/>
              <w:right w:type="dxa" w:w="100"/>
            </w:tcMar>
          </w:tcPr>
          <w:p>
            <w:r>
              <w:rPr>
                <w:color w:val="0A1F17"/>
                <w:sz w:val="19"/>
                <w:szCs w:val="19"/>
              </w:rPr>
              <w:t xml:space="preserve">Keep a lightweight experiment log (name, hypothesis, result, decision) for any change to CTAs, headlines or pricing presentation.</w:t>
            </w:r>
          </w:p>
        </w:tc>
      </w:tr>
      <w:tr>
        <w:tc>
          <w:tcPr>
            <w:tcW w:type="dxa" w:w="700"/>
            <w:shd w:fill="F7F5EE" w:val="clear"/>
            <w:tcMar>
              <w:top w:type="dxa" w:w="80"/>
              <w:left w:type="dxa" w:w="100"/>
              <w:bottom w:type="dxa" w:w="80"/>
              <w:right w:type="dxa" w:w="100"/>
            </w:tcMar>
          </w:tcPr>
          <w:p>
            <w:r>
              <w:rPr>
                <w:b/>
                <w:bCs/>
                <w:color w:val="004331"/>
                <w:sz w:val="19"/>
                <w:szCs w:val="19"/>
              </w:rPr>
              <w:t xml:space="preserve">3</w:t>
            </w:r>
          </w:p>
        </w:tc>
        <w:tc>
          <w:tcPr>
            <w:tcW w:type="dxa" w:w="8700"/>
            <w:shd w:fill="F7F5EE" w:val="clear"/>
            <w:tcMar>
              <w:top w:type="dxa" w:w="80"/>
              <w:left w:type="dxa" w:w="100"/>
              <w:bottom w:type="dxa" w:w="80"/>
              <w:right w:type="dxa" w:w="100"/>
            </w:tcMar>
          </w:tcPr>
          <w:p>
            <w:r>
              <w:rPr>
                <w:color w:val="0A1F17"/>
                <w:sz w:val="19"/>
                <w:szCs w:val="19"/>
              </w:rPr>
              <w:t xml:space="preserve">Prioritise by effort against impact; the CTA consistency and header compaction made this session are exactly this kind of cheap, safe win.</w:t>
            </w:r>
          </w:p>
        </w:tc>
      </w:tr>
      <w:tr>
        <w:tc>
          <w:tcPr>
            <w:tcW w:type="dxa" w:w="700"/>
            <w:shd w:fill="FFFFFF" w:val="clear"/>
            <w:tcMar>
              <w:top w:type="dxa" w:w="80"/>
              <w:left w:type="dxa" w:w="100"/>
              <w:bottom w:type="dxa" w:w="80"/>
              <w:right w:type="dxa" w:w="100"/>
            </w:tcMar>
          </w:tcPr>
          <w:p>
            <w:r>
              <w:rPr>
                <w:b/>
                <w:bCs/>
                <w:color w:val="004331"/>
                <w:sz w:val="19"/>
                <w:szCs w:val="19"/>
              </w:rPr>
              <w:t xml:space="preserve">4</w:t>
            </w:r>
          </w:p>
        </w:tc>
        <w:tc>
          <w:tcPr>
            <w:tcW w:type="dxa" w:w="8700"/>
            <w:shd w:fill="FFFFFF" w:val="clear"/>
            <w:tcMar>
              <w:top w:type="dxa" w:w="80"/>
              <w:left w:type="dxa" w:w="100"/>
              <w:bottom w:type="dxa" w:w="80"/>
              <w:right w:type="dxa" w:w="100"/>
            </w:tcMar>
          </w:tcPr>
          <w:p>
            <w:r>
              <w:rPr>
                <w:color w:val="0A1F17"/>
                <w:sz w:val="19"/>
                <w:szCs w:val="19"/>
              </w:rPr>
              <w:t xml:space="preserve">Avoid running multiple conflicting changes on the same page in the same week, which makes results impossible to attribute.</w:t>
            </w:r>
          </w:p>
        </w:tc>
      </w:tr>
      <w:tr>
        <w:tc>
          <w:tcPr>
            <w:tcW w:type="dxa" w:w="700"/>
            <w:shd w:fill="F7F5EE" w:val="clear"/>
            <w:tcMar>
              <w:top w:type="dxa" w:w="80"/>
              <w:left w:type="dxa" w:w="100"/>
              <w:bottom w:type="dxa" w:w="80"/>
              <w:right w:type="dxa" w:w="100"/>
            </w:tcMar>
          </w:tcPr>
          <w:p>
            <w:r>
              <w:rPr>
                <w:b/>
                <w:bCs/>
                <w:color w:val="004331"/>
                <w:sz w:val="19"/>
                <w:szCs w:val="19"/>
              </w:rPr>
              <w:t xml:space="preserve">5</w:t>
            </w:r>
          </w:p>
        </w:tc>
        <w:tc>
          <w:tcPr>
            <w:tcW w:type="dxa" w:w="8700"/>
            <w:shd w:fill="F7F5EE" w:val="clear"/>
            <w:tcMar>
              <w:top w:type="dxa" w:w="80"/>
              <w:left w:type="dxa" w:w="100"/>
              <w:bottom w:type="dxa" w:w="80"/>
              <w:right w:type="dxa" w:w="100"/>
            </w:tcMar>
          </w:tcPr>
          <w:p>
            <w:r>
              <w:rPr>
                <w:color w:val="0A1F17"/>
                <w:sz w:val="19"/>
                <w:szCs w:val="19"/>
              </w:rPr>
              <w:t xml:space="preserve">Revisit this twenty five category audit roughly every quarter, since a growing site accumulates inconsistencies faster than casual review catches them.</w:t>
            </w:r>
          </w:p>
        </w:tc>
      </w:tr>
      <w:tr>
        <w:tc>
          <w:tcPr>
            <w:tcW w:type="dxa" w:w="700"/>
            <w:shd w:fill="FFFFFF" w:val="clear"/>
            <w:tcMar>
              <w:top w:type="dxa" w:w="80"/>
              <w:left w:type="dxa" w:w="100"/>
              <w:bottom w:type="dxa" w:w="80"/>
              <w:right w:type="dxa" w:w="100"/>
            </w:tcMar>
          </w:tcPr>
          <w:p>
            <w:r>
              <w:rPr>
                <w:b/>
                <w:bCs/>
                <w:color w:val="004331"/>
                <w:sz w:val="19"/>
                <w:szCs w:val="19"/>
              </w:rPr>
              <w:t xml:space="preserve">6</w:t>
            </w:r>
          </w:p>
        </w:tc>
        <w:tc>
          <w:tcPr>
            <w:tcW w:type="dxa" w:w="8700"/>
            <w:shd w:fill="FFFFFF" w:val="clear"/>
            <w:tcMar>
              <w:top w:type="dxa" w:w="80"/>
              <w:left w:type="dxa" w:w="100"/>
              <w:bottom w:type="dxa" w:w="80"/>
              <w:right w:type="dxa" w:w="100"/>
            </w:tcMar>
          </w:tcPr>
          <w:p>
            <w:r>
              <w:rPr>
                <w:color w:val="0A1F17"/>
                <w:sz w:val="19"/>
                <w:szCs w:val="19"/>
              </w:rPr>
              <w:t xml:space="preserve">Keep using AGENT-COMMS.md as the single, genuinely useful change log for what changed and why.</w:t>
            </w:r>
          </w:p>
        </w:tc>
      </w:tr>
      <w:tr>
        <w:tc>
          <w:tcPr>
            <w:tcW w:type="dxa" w:w="700"/>
            <w:shd w:fill="F7F5EE" w:val="clear"/>
            <w:tcMar>
              <w:top w:type="dxa" w:w="80"/>
              <w:left w:type="dxa" w:w="100"/>
              <w:bottom w:type="dxa" w:w="80"/>
              <w:right w:type="dxa" w:w="100"/>
            </w:tcMar>
          </w:tcPr>
          <w:p>
            <w:r>
              <w:rPr>
                <w:b/>
                <w:bCs/>
                <w:color w:val="004331"/>
                <w:sz w:val="19"/>
                <w:szCs w:val="19"/>
              </w:rPr>
              <w:t xml:space="preserve">7</w:t>
            </w:r>
          </w:p>
        </w:tc>
        <w:tc>
          <w:tcPr>
            <w:tcW w:type="dxa" w:w="8700"/>
            <w:shd w:fill="F7F5EE" w:val="clear"/>
            <w:tcMar>
              <w:top w:type="dxa" w:w="80"/>
              <w:left w:type="dxa" w:w="100"/>
              <w:bottom w:type="dxa" w:w="80"/>
              <w:right w:type="dxa" w:w="100"/>
            </w:tcMar>
          </w:tcPr>
          <w:p>
            <w:r>
              <w:rPr>
                <w:color w:val="0A1F17"/>
                <w:sz w:val="19"/>
                <w:szCs w:val="19"/>
              </w:rPr>
              <w:t xml:space="preserve">Build a simple monthly checklist covering traffic, leads, conversion rate, broken links and page speed rather than relying on memory.</w:t>
            </w:r>
          </w:p>
        </w:tc>
      </w:tr>
      <w:tr>
        <w:tc>
          <w:tcPr>
            <w:tcW w:type="dxa" w:w="700"/>
            <w:shd w:fill="FFFFFF" w:val="clear"/>
            <w:tcMar>
              <w:top w:type="dxa" w:w="80"/>
              <w:left w:type="dxa" w:w="100"/>
              <w:bottom w:type="dxa" w:w="80"/>
              <w:right w:type="dxa" w:w="100"/>
            </w:tcMar>
          </w:tcPr>
          <w:p>
            <w:r>
              <w:rPr>
                <w:b/>
                <w:bCs/>
                <w:color w:val="004331"/>
                <w:sz w:val="19"/>
                <w:szCs w:val="19"/>
              </w:rPr>
              <w:t xml:space="preserve">8</w:t>
            </w:r>
          </w:p>
        </w:tc>
        <w:tc>
          <w:tcPr>
            <w:tcW w:type="dxa" w:w="8700"/>
            <w:shd w:fill="FFFFFF" w:val="clear"/>
            <w:tcMar>
              <w:top w:type="dxa" w:w="80"/>
              <w:left w:type="dxa" w:w="100"/>
              <w:bottom w:type="dxa" w:w="80"/>
              <w:right w:type="dxa" w:w="100"/>
            </w:tcMar>
          </w:tcPr>
          <w:p>
            <w:r>
              <w:rPr>
                <w:color w:val="0A1F17"/>
                <w:sz w:val="19"/>
                <w:szCs w:val="19"/>
              </w:rPr>
              <w:t xml:space="preserve">Involve real prospects or customers in usability feedback periodically, since internal teams stop seeing their own site's friction points.</w:t>
            </w:r>
          </w:p>
        </w:tc>
      </w:tr>
      <w:tr>
        <w:tc>
          <w:tcPr>
            <w:tcW w:type="dxa" w:w="700"/>
            <w:shd w:fill="F7F5EE" w:val="clear"/>
            <w:tcMar>
              <w:top w:type="dxa" w:w="80"/>
              <w:left w:type="dxa" w:w="100"/>
              <w:bottom w:type="dxa" w:w="80"/>
              <w:right w:type="dxa" w:w="100"/>
            </w:tcMar>
          </w:tcPr>
          <w:p>
            <w:r>
              <w:rPr>
                <w:b/>
                <w:bCs/>
                <w:color w:val="004331"/>
                <w:sz w:val="19"/>
                <w:szCs w:val="19"/>
              </w:rPr>
              <w:t xml:space="preserve">9</w:t>
            </w:r>
          </w:p>
        </w:tc>
        <w:tc>
          <w:tcPr>
            <w:tcW w:type="dxa" w:w="8700"/>
            <w:shd w:fill="F7F5EE" w:val="clear"/>
            <w:tcMar>
              <w:top w:type="dxa" w:w="80"/>
              <w:left w:type="dxa" w:w="100"/>
              <w:bottom w:type="dxa" w:w="80"/>
              <w:right w:type="dxa" w:w="100"/>
            </w:tcMar>
          </w:tcPr>
          <w:p>
            <w:r>
              <w:rPr>
                <w:color w:val="0A1F17"/>
                <w:sz w:val="19"/>
                <w:szCs w:val="19"/>
              </w:rPr>
              <w:t xml:space="preserve">Have whichever agent or person touches the site next read AGENT-COMMS.md first, exactly as the existing ownership protocol requires.</w:t>
            </w:r>
          </w:p>
        </w:tc>
      </w:tr>
      <w:tr>
        <w:tc>
          <w:tcPr>
            <w:tcW w:type="dxa" w:w="700"/>
            <w:shd w:fill="FFFFFF" w:val="clear"/>
            <w:tcMar>
              <w:top w:type="dxa" w:w="80"/>
              <w:left w:type="dxa" w:w="100"/>
              <w:bottom w:type="dxa" w:w="80"/>
              <w:right w:type="dxa" w:w="100"/>
            </w:tcMar>
          </w:tcPr>
          <w:p>
            <w:r>
              <w:rPr>
                <w:b/>
                <w:bCs/>
                <w:color w:val="004331"/>
                <w:sz w:val="19"/>
                <w:szCs w:val="19"/>
              </w:rPr>
              <w:t xml:space="preserve">10</w:t>
            </w:r>
          </w:p>
        </w:tc>
        <w:tc>
          <w:tcPr>
            <w:tcW w:type="dxa" w:w="8700"/>
            <w:shd w:fill="FFFFFF" w:val="clear"/>
            <w:tcMar>
              <w:top w:type="dxa" w:w="80"/>
              <w:left w:type="dxa" w:w="100"/>
              <w:bottom w:type="dxa" w:w="80"/>
              <w:right w:type="dxa" w:w="100"/>
            </w:tcMar>
          </w:tcPr>
          <w:p>
            <w:r>
              <w:rPr>
                <w:color w:val="0A1F17"/>
                <w:sz w:val="19"/>
                <w:szCs w:val="19"/>
              </w:rPr>
              <w:t xml:space="preserve">Resist implementing all two hundred and fifty points at once; sequence by impact and effort and measure as you go, consistent with how this session prioritised the safest, highest visibility fixes first.</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259"/>
        <w:sz w:val="16"/>
        <w:szCs w:val="16"/>
      </w:rPr>
      <w:t xml:space="preserve">Page </w:t>
    </w:r>
    <w:r>
      <w:rPr>
        <w:color w:val="566259"/>
        <w:sz w:val="16"/>
        <w:szCs w:val="16"/>
      </w:rPr>
      <w:fldChar w:fldCharType="begin"/>
      <w:instrText xml:space="preserve">PAGE</w:instrText>
      <w:fldChar w:fldCharType="separate"/>
      <w:fldChar w:fldCharType="end"/>
    </w:r>
    <w:r>
      <w:rPr>
        <w:color w:val="566259"/>
        <w:sz w:val="16"/>
        <w:szCs w:val="16"/>
      </w:rPr>
      <w:t xml:space="preserve"> of </w:t>
    </w:r>
    <w:r>
      <w:rPr>
        <w:color w:val="5662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59"/>
        <w:sz w:val="16"/>
        <w:szCs w:val="16"/>
      </w:rPr>
      <w:t xml:space="preserve">StaffiQ Website Audit — RevenStrat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2026-07-15T01:12:13.290Z</dcterms:created>
  <dcterms:modified xsi:type="dcterms:W3CDTF">2026-07-15T01:12:13.291Z</dcterms:modified>
</cp:coreProperties>
</file>

<file path=docProps/custom.xml><?xml version="1.0" encoding="utf-8"?>
<Properties xmlns="http://schemas.openxmlformats.org/officeDocument/2006/custom-properties" xmlns:vt="http://schemas.openxmlformats.org/officeDocument/2006/docPropsVTypes"/>
</file>