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i w:val="0"/>
          <w:color w:val="193A5A"/>
          <w:sz w:val="29"/>
        </w:rPr>
        <w:t>INDEPENDENT TECHNICAL REVIEW RESPONSE</w:t>
      </w:r>
    </w:p>
    <w:p>
      <w:pPr>
        <w:spacing w:after="140"/>
        <w:jc w:val="center"/>
      </w:pPr>
      <w:r>
        <w:rPr>
          <w:rFonts w:ascii="Arial" w:hAnsi="Arial"/>
          <w:b w:val="0"/>
          <w:i/>
          <w:color w:val="1C2731"/>
          <w:sz w:val="19"/>
        </w:rPr>
        <w:t>Continuous Control Assurance Framework (CCAF), Version 1.3.1</w:t>
      </w:r>
    </w:p>
    <w:p>
      <w:pPr>
        <w:spacing w:after="100"/>
      </w:pPr>
      <w:r>
        <w:rPr>
          <w:rFonts w:ascii="Arial" w:hAnsi="Arial"/>
          <w:b w:val="0"/>
          <w:i w:val="0"/>
          <w:color w:val="56626C"/>
          <w:sz w:val="17"/>
        </w:rPr>
        <w:t>This concise form records the materials and procedures personally reviewed and the reviewer's independent professional judgment. A documents-based design review is sufficient; repository inspection and local reproduction are optional.</w:t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93A5A"/>
          <w:sz w:val="22"/>
        </w:rPr>
        <w:t>1. Reviewer information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5184"/>
        <w:gridCol w:w="5184"/>
      </w:tblGrid>
      <w:tr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Current professional title: __________________________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Organization: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Email or telephone: __________________________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 (brief): 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</w:tr>
      <w:tr>
        <w:tc>
          <w:tcPr>
            <w:tcW w:type="dxa" w:w="10368"/>
            <w:gridSpan w:val="2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________________________________________________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93A5A"/>
          <w:sz w:val="22"/>
        </w:rPr>
        <w:t>2. Materials, scope, and procedures reviewed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368"/>
      </w:tblGrid>
      <w:tr>
        <w:tc>
          <w:tcPr>
            <w:tcW w:type="dxa" w:w="10368"/>
            <w:shd w:fill="EAF0F5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 xml:space="preserve">Stable snapshot: review-v1.3.1  |  </w:t>
            </w:r>
            <w:r>
              <w:rPr>
                <w:rFonts w:ascii="Arial" w:hAnsi="Arial"/>
                <w:b w:val="0"/>
                <w:i w:val="0"/>
                <w:color w:val="215B91"/>
                <w:sz w:val="16"/>
              </w:rPr>
              <w:t>https://github.com/Ayodele-Adeniyi/continuous-control-assurance-framework/tree/review-v1.3.1</w:t>
            </w:r>
          </w:p>
        </w:tc>
      </w:tr>
      <w:tr>
        <w:tc>
          <w:tcPr>
            <w:tcW w:type="dxa" w:w="10368"/>
            <w:tcMar>
              <w:top w:w="80" w:type="dxa"/>
              <w:start w:w="115" w:type="dxa"/>
              <w:bottom w:w="80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 xml:space="preserve">Materials/procedures: </w:t>
            </w:r>
            <w:r>
              <w:rPr>
                <w:rFonts w:ascii="Arial" w:hAnsi="Arial"/>
                <w:b w:val="0"/>
                <w:i w:val="0"/>
                <w:color w:val="1C2731"/>
                <w:sz w:val="16"/>
              </w:rPr>
              <w:t>☐ Methodology  ☐ Control-Test Catalog  ☐ Repository/code (optional)  ☐ Local reproduction (optional)  ☐ Automated tests (optional)</w:t>
            </w:r>
          </w:p>
        </w:tc>
      </w:tr>
      <w:tr>
        <w:tc>
          <w:tcPr>
            <w:tcW w:type="dxa" w:w="10368"/>
            <w:tcMar>
              <w:top w:w="80" w:type="dxa"/>
              <w:start w:w="115" w:type="dxa"/>
              <w:bottom w:w="80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 xml:space="preserve">Catalog scope: </w:t>
            </w:r>
            <w:r>
              <w:rPr>
                <w:rFonts w:ascii="Arial" w:hAnsi="Arial"/>
                <w:b w:val="0"/>
                <w:i w:val="0"/>
                <w:color w:val="1C2731"/>
                <w:sz w:val="16"/>
              </w:rPr>
              <w:t>☐ All 20 controls  ☐ Selected modules/control IDs: __________________________</w:t>
            </w:r>
            <w:r>
              <w:br/>
            </w:r>
            <w:r>
              <w:rPr>
                <w:rFonts w:ascii="Arial" w:hAnsi="Arial"/>
                <w:b w:val="0"/>
                <w:i w:val="0"/>
                <w:color w:val="1C2731"/>
                <w:sz w:val="16"/>
              </w:rPr>
              <w:t>Observed result and seed, if locally reproduced: __________________________________________</w:t>
            </w:r>
          </w:p>
        </w:tc>
      </w:tr>
      <w:tr>
        <w:tc>
          <w:tcPr>
            <w:tcW w:type="dxa" w:w="10368"/>
            <w:shd w:fill="EAF0F5"/>
            <w:tcMar>
              <w:top w:w="90" w:type="dxa"/>
              <w:start w:w="115" w:type="dxa"/>
              <w:bottom w:w="90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 xml:space="preserve">Documented release facts: </w:t>
            </w:r>
            <w:r>
              <w:rPr>
                <w:rFonts w:ascii="Arial" w:hAnsi="Arial"/>
                <w:b w:val="0"/>
                <w:i w:val="0"/>
                <w:color w:val="1C2731"/>
                <w:sz w:val="16"/>
              </w:rPr>
              <w:t>Version 1.3.1; Apache-2.0 license; 20 control tests using synthetic demonstration data. Under the official seed-42 benchmark, the release documentation reports 165 of 165 deliberately planted conditions detected, 3 additional peer-comparison observations, and 168 total exceptions.</w:t>
            </w:r>
            <w:r>
              <w:br/>
            </w:r>
            <w:r>
              <w:rPr>
                <w:rFonts w:ascii="Arial" w:hAnsi="Arial"/>
                <w:b w:val="0"/>
                <w:i/>
                <w:color w:val="56626C"/>
                <w:sz w:val="16"/>
              </w:rPr>
              <w:t>Corrections, if any: ________________________________________________</w:t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93A5A"/>
          <w:sz w:val="22"/>
        </w:rPr>
        <w:t>3. Professional opinion</w:t>
      </w:r>
    </w:p>
    <w:p>
      <w:pPr>
        <w:keepNext/>
        <w:spacing w:before="100" w:after="40"/>
      </w:pPr>
      <w:r>
        <w:rPr>
          <w:rFonts w:ascii="Arial" w:hAnsi="Arial"/>
          <w:b/>
          <w:i w:val="0"/>
          <w:color w:val="1C2731"/>
          <w:sz w:val="19"/>
        </w:rPr>
        <w:t xml:space="preserve">Technical soundness. </w:t>
      </w:r>
      <w:r>
        <w:rPr>
          <w:rFonts w:ascii="Arial" w:hAnsi="Arial"/>
          <w:b w:val="0"/>
          <w:i w:val="0"/>
          <w:color w:val="1C2731"/>
          <w:sz w:val="18"/>
        </w:rPr>
        <w:t>In my professional judgment, this framework is:</w:t>
      </w:r>
    </w:p>
    <w:p>
      <w:pPr>
        <w:spacing w:after="60" w:line="252" w:lineRule="auto"/>
        <w:ind w:left="216"/>
      </w:pPr>
      <w:r>
        <w:rPr>
          <w:rFonts w:ascii="Arial" w:hAnsi="Arial"/>
          <w:b w:val="0"/>
          <w:i w:val="0"/>
          <w:color w:val="1C2731"/>
          <w:sz w:val="17"/>
        </w:rPr>
        <w:t>☐ Technically sound and consistent with professional control-testing practice for a synthetic reference prototype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Technically sound with minor reservations explained below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Not technically sound, as explained below</w:t>
      </w:r>
    </w:p>
    <w:p>
      <w:pPr>
        <w:keepNext/>
        <w:spacing w:after="40"/>
      </w:pPr>
      <w:r>
        <w:rPr>
          <w:rFonts w:ascii="Arial" w:hAnsi="Arial"/>
          <w:b w:val="0"/>
          <w:i/>
          <w:color w:val="56626C"/>
          <w:sz w:val="17"/>
        </w:rPr>
        <w:t>Comments (optional):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368"/>
      </w:tblGrid>
      <w:tr>
        <w:trPr>
          <w:trHeight w:val="547" w:hRule="atLeast"/>
        </w:trPr>
        <w:tc>
          <w:tcPr>
            <w:tcW w:type="dxa" w:w="10368"/>
            <w:tcMar>
              <w:top w:w="70" w:type="dxa"/>
              <w:start w:w="115" w:type="dxa"/>
              <w:bottom w:w="70" w:type="dxa"/>
              <w:end w:w="115" w:type="dxa"/>
            </w:tcMar>
          </w:tcPr>
          <w:p/>
        </w:tc>
      </w:tr>
    </w:tbl>
    <w:p>
      <w:pPr>
        <w:keepNext/>
        <w:spacing w:before="100" w:after="40"/>
      </w:pPr>
      <w:r>
        <w:rPr>
          <w:rFonts w:ascii="Arial" w:hAnsi="Arial"/>
          <w:b/>
          <w:i w:val="0"/>
          <w:color w:val="1C2731"/>
          <w:sz w:val="19"/>
        </w:rPr>
        <w:t xml:space="preserve">Claims and limitations. </w:t>
      </w:r>
      <w:r>
        <w:rPr>
          <w:rFonts w:ascii="Arial" w:hAnsi="Arial"/>
          <w:b w:val="0"/>
          <w:i w:val="0"/>
          <w:color w:val="1C2731"/>
          <w:sz w:val="18"/>
        </w:rPr>
        <w:t>In my professional judgment, the framework's claims are:</w:t>
      </w:r>
    </w:p>
    <w:p>
      <w:pPr>
        <w:spacing w:after="60" w:line="252" w:lineRule="auto"/>
        <w:ind w:left="216"/>
      </w:pPr>
      <w:r>
        <w:rPr>
          <w:rFonts w:ascii="Arial" w:hAnsi="Arial"/>
          <w:b w:val="0"/>
          <w:i w:val="0"/>
          <w:color w:val="1C2731"/>
          <w:sz w:val="17"/>
        </w:rPr>
        <w:t>☐ Appropriately bounded to what the demonstration establishes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Generally appropriate, but some claims are overstated as explained below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Not appropriately bounded, as explained below</w:t>
      </w:r>
    </w:p>
    <w:p>
      <w:pPr>
        <w:keepNext/>
        <w:spacing w:after="40"/>
      </w:pPr>
      <w:r>
        <w:rPr>
          <w:rFonts w:ascii="Arial" w:hAnsi="Arial"/>
          <w:b w:val="0"/>
          <w:i/>
          <w:color w:val="56626C"/>
          <w:sz w:val="17"/>
        </w:rPr>
        <w:t>Comments (optional):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368"/>
      </w:tblGrid>
      <w:tr>
        <w:trPr>
          <w:trHeight w:val="547" w:hRule="atLeast"/>
        </w:trPr>
        <w:tc>
          <w:tcPr>
            <w:tcW w:type="dxa" w:w="10368"/>
            <w:tcMar>
              <w:top w:w="70" w:type="dxa"/>
              <w:start w:w="115" w:type="dxa"/>
              <w:bottom w:w="70" w:type="dxa"/>
              <w:end w:w="115" w:type="dxa"/>
            </w:tcMar>
          </w:tcPr>
          <w:p/>
        </w:tc>
      </w:tr>
    </w:tbl>
    <w:p>
      <w:pPr>
        <w:keepNext/>
        <w:spacing w:before="100" w:after="40"/>
      </w:pPr>
      <w:r>
        <w:rPr>
          <w:rFonts w:ascii="Arial" w:hAnsi="Arial"/>
          <w:b/>
          <w:i w:val="0"/>
          <w:color w:val="1C2731"/>
          <w:sz w:val="19"/>
        </w:rPr>
        <w:t xml:space="preserve">Transferability. </w:t>
      </w:r>
      <w:r>
        <w:rPr>
          <w:rFonts w:ascii="Arial" w:hAnsi="Arial"/>
          <w:b w:val="0"/>
          <w:i w:val="0"/>
          <w:color w:val="1C2731"/>
          <w:sz w:val="18"/>
        </w:rPr>
        <w:t>In my professional judgment, this methodology:</w:t>
      </w:r>
    </w:p>
    <w:p>
      <w:pPr>
        <w:spacing w:after="60" w:line="252" w:lineRule="auto"/>
        <w:ind w:left="216"/>
      </w:pPr>
      <w:r>
        <w:rPr>
          <w:rFonts w:ascii="Arial" w:hAnsi="Arial"/>
          <w:b w:val="0"/>
          <w:i w:val="0"/>
          <w:color w:val="1C2731"/>
          <w:sz w:val="17"/>
        </w:rPr>
        <w:t>☐ Could be adapted by other institutions or practitioners to their own authorized data and control environments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Could be adapted with significant effort, as explained below</w:t>
      </w:r>
      <w:r>
        <w:br/>
      </w:r>
      <w:r>
        <w:rPr>
          <w:rFonts w:ascii="Arial" w:hAnsi="Arial"/>
          <w:b w:val="0"/>
          <w:i w:val="0"/>
          <w:color w:val="1C2731"/>
          <w:sz w:val="17"/>
        </w:rPr>
        <w:t>☐ Is not practically transferable, as explained below</w:t>
      </w:r>
    </w:p>
    <w:p>
      <w:pPr>
        <w:keepNext/>
        <w:spacing w:after="40"/>
      </w:pPr>
      <w:r>
        <w:rPr>
          <w:rFonts w:ascii="Arial" w:hAnsi="Arial"/>
          <w:b w:val="0"/>
          <w:i/>
          <w:color w:val="56626C"/>
          <w:sz w:val="17"/>
        </w:rPr>
        <w:t>Comments (optional):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368"/>
      </w:tblGrid>
      <w:tr>
        <w:trPr>
          <w:trHeight w:val="547" w:hRule="atLeast"/>
        </w:trPr>
        <w:tc>
          <w:tcPr>
            <w:tcW w:type="dxa" w:w="10368"/>
            <w:tcMar>
              <w:top w:w="70" w:type="dxa"/>
              <w:start w:w="115" w:type="dxa"/>
              <w:bottom w:w="70" w:type="dxa"/>
              <w:end w:w="115" w:type="dxa"/>
            </w:tcMar>
          </w:tcPr>
          <w:p/>
        </w:tc>
      </w:tr>
    </w:tbl>
    <w:p>
      <w:pPr>
        <w:keepNext/>
        <w:spacing w:before="140" w:after="60"/>
      </w:pPr>
      <w:r>
        <w:rPr>
          <w:rFonts w:ascii="Arial" w:hAnsi="Arial"/>
          <w:b/>
          <w:i w:val="0"/>
          <w:color w:val="1C2731"/>
          <w:sz w:val="19"/>
        </w:rPr>
        <w:t xml:space="preserve">Overall assessment. </w:t>
      </w:r>
      <w:r>
        <w:rPr>
          <w:rFonts w:ascii="Arial" w:hAnsi="Arial"/>
          <w:b w:val="0"/>
          <w:i w:val="0"/>
          <w:color w:val="1C2731"/>
          <w:sz w:val="18"/>
        </w:rPr>
        <w:t>Briefly address technical soundness, limitations, and potential transferability (2-4 sentences):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368"/>
      </w:tblGrid>
      <w:tr>
        <w:trPr>
          <w:trHeight w:val="1584" w:hRule="atLeast"/>
        </w:trPr>
        <w:tc>
          <w:tcPr>
            <w:tcW w:type="dxa" w:w="10368"/>
            <w:vAlign w:val="top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93A5A"/>
          <w:sz w:val="22"/>
        </w:rPr>
        <w:t>4. Confirmation</w:t>
      </w:r>
    </w:p>
    <w:p>
      <w:pPr>
        <w:spacing w:after="140"/>
      </w:pPr>
      <w:r>
        <w:rPr>
          <w:rFonts w:ascii="Arial" w:hAnsi="Arial"/>
          <w:b w:val="0"/>
          <w:i w:val="0"/>
          <w:color w:val="1C2731"/>
          <w:sz w:val="17"/>
        </w:rPr>
        <w:t>This response reflects my independent professional judgment based on the materials and procedures identified above. It does not constitute institutional endorsement, regulatory approval, certification, a claim of institutional adoption, or a claim about production performance. I understand that this response may be cited publicly and in professional or immigration-related submissions as evidence of independent review.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168"/>
        <w:gridCol w:w="4392"/>
        <w:gridCol w:w="2808"/>
      </w:tblGrid>
      <w:tr>
        <w:tc>
          <w:tcPr>
            <w:tcW w:type="dxa" w:w="3456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Name (printed): __________________</w:t>
            </w:r>
          </w:p>
        </w:tc>
        <w:tc>
          <w:tcPr>
            <w:tcW w:type="dxa" w:w="3456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Signature: __________________________</w:t>
            </w:r>
          </w:p>
        </w:tc>
        <w:tc>
          <w:tcPr>
            <w:tcW w:type="dxa" w:w="3456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Date: 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6626C"/>
        <w:sz w:val="15"/>
      </w:rPr>
      <w:t>CCAF independent review | Stable snapshot: review-v1.3.1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color w:val="1C27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Spacious two-page independent technical review response form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