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93A5A"/>
          <w:sz w:val="28"/>
        </w:rPr>
        <w:t>INDEPENDENT TECHNICAL REVIEW RESPONSE</w:t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1C2731"/>
          <w:sz w:val="18"/>
        </w:rPr>
        <w:t>Continuous Control Assurance Framework (CCAF), Version 1.3.1</w:t>
      </w:r>
    </w:p>
    <w:p>
      <w:pPr>
        <w:spacing w:after="60"/>
      </w:pPr>
      <w:r>
        <w:rPr>
          <w:rFonts w:ascii="Arial" w:hAnsi="Arial"/>
          <w:b w:val="0"/>
          <w:i w:val="0"/>
          <w:color w:val="56626C"/>
          <w:sz w:val="16"/>
        </w:rPr>
        <w:t>This concise form records the materials and procedures personally reviewed and the reviewer's independent professional judgment. A document-based design review is sufficient; you do not need to install or run any software.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193A5A"/>
          <w:sz w:val="20"/>
        </w:rPr>
        <w:t>1. Reviewer information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single" w:sz="5" w:color="8EA2B3"/>
          <w:left w:val="single" w:sz="5" w:color="8EA2B3"/>
          <w:bottom w:val="single" w:sz="5" w:color="8EA2B3"/>
          <w:right w:val="single" w:sz="5" w:color="8EA2B3"/>
          <w:insideH w:val="single" w:sz="5" w:color="8EA2B3"/>
          <w:insideV w:val="single" w:sz="5" w:color="8EA2B3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2731"/>
                <w:sz w:val="16"/>
              </w:rPr>
              <w:t>Reviewer name: __________________________</w:t>
            </w:r>
          </w:p>
        </w:tc>
        <w:tc>
          <w:tcPr>
            <w:tcW w:type="dxa" w:w="53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2731"/>
                <w:sz w:val="16"/>
              </w:rPr>
              <w:t>Current professional title: __________________________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2731"/>
                <w:sz w:val="16"/>
              </w:rPr>
              <w:t>Organization: __________________________</w:t>
            </w:r>
          </w:p>
        </w:tc>
        <w:tc>
          <w:tcPr>
            <w:tcW w:type="dxa" w:w="53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2731"/>
                <w:sz w:val="16"/>
              </w:rPr>
              <w:t>Email or telephone: __________________________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2731"/>
                <w:sz w:val="16"/>
              </w:rPr>
              <w:t>Relevant experience (brief): __________________</w:t>
            </w:r>
          </w:p>
        </w:tc>
        <w:tc>
          <w:tcPr>
            <w:tcW w:type="dxa" w:w="53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2731"/>
                <w:sz w:val="16"/>
              </w:rPr>
              <w:t>Review date: __________________________</w:t>
            </w:r>
          </w:p>
        </w:tc>
      </w:tr>
      <w:tr>
        <w:tc>
          <w:tcPr>
            <w:tcW w:type="dxa" w:w="10656"/>
            <w:gridSpan w:val="2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>Prior relationship, conflict, or compensation, if any: ________________________________________________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i w:val="0"/>
          <w:color w:val="193A5A"/>
          <w:sz w:val="20"/>
        </w:rPr>
        <w:t>2. Materials, scope, and procedures reviewed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single" w:sz="5" w:color="8EA2B3"/>
          <w:left w:val="single" w:sz="5" w:color="8EA2B3"/>
          <w:bottom w:val="single" w:sz="5" w:color="8EA2B3"/>
          <w:right w:val="single" w:sz="5" w:color="8EA2B3"/>
          <w:insideH w:val="single" w:sz="5" w:color="8EA2B3"/>
          <w:insideV w:val="single" w:sz="5" w:color="8EA2B3"/>
        </w:tblBorders>
      </w:tblPr>
      <w:tblGrid>
        <w:gridCol w:w="10656"/>
      </w:tblGrid>
      <w:tr>
        <w:tc>
          <w:tcPr>
            <w:tcW w:type="dxa" w:w="10656"/>
            <w:shd w:fill="EAF0F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 xml:space="preserve">Stable snapshot: review-v1.3.1  |  </w:t>
            </w:r>
            <w:r>
              <w:rPr>
                <w:rFonts w:ascii="Arial" w:hAnsi="Arial"/>
                <w:b w:val="0"/>
                <w:i w:val="0"/>
                <w:color w:val="215B91"/>
                <w:sz w:val="14"/>
              </w:rPr>
              <w:t>https://github.com/Ayodele-Adeniyi/continuous-control-assurance-framework/tree/review-v1.3.1</w:t>
            </w:r>
          </w:p>
        </w:tc>
      </w:tr>
      <w:tr>
        <w:tc>
          <w:tcPr>
            <w:tcW w:type="dxa" w:w="1065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 xml:space="preserve">Materials/procedures: </w:t>
            </w: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Methodology and Release Documentation  ☐ Control-Test Catalog  ☐ Repository/source code (optional)  ☐ Local reproduction (optional)  ☐ Automated test suite (optional)</w:t>
            </w:r>
          </w:p>
        </w:tc>
      </w:tr>
      <w:tr>
        <w:tc>
          <w:tcPr>
            <w:tcW w:type="dxa" w:w="1065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 xml:space="preserve">Catalog scope: </w:t>
            </w: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All 20 controls  ☐ Selected modules/control IDs: __________________________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Observed result and seed, if locally reproduced (optional): _________________________________</w:t>
            </w:r>
          </w:p>
        </w:tc>
      </w:tr>
      <w:tr>
        <w:tc>
          <w:tcPr>
            <w:tcW w:type="dxa" w:w="10656"/>
            <w:shd w:fill="EAF0F5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 xml:space="preserve">Documented release facts: </w:t>
            </w: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Version 1.3.1; Apache-2.0 license; 20 control tests using synthetic demonstration data. Under the official seed-42 benchmark, the release documentation reports 165 of 165 deliberately planted conditions detected, 3 additional peer-comparison observations, and 168 total exceptions.</w:t>
            </w:r>
            <w:r>
              <w:br/>
            </w:r>
            <w:r>
              <w:rPr>
                <w:rFonts w:ascii="Arial" w:hAnsi="Arial"/>
                <w:b w:val="0"/>
                <w:i/>
                <w:color w:val="56626C"/>
                <w:sz w:val="15"/>
              </w:rPr>
              <w:t>Corrections, if any: ________________________________________________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i w:val="0"/>
          <w:color w:val="193A5A"/>
          <w:sz w:val="20"/>
        </w:rPr>
        <w:t>3. Professional opinion</w:t>
      </w:r>
    </w:p>
    <w:p>
      <w:pPr>
        <w:keepNext/>
        <w:spacing w:before="50" w:after="20"/>
      </w:pPr>
      <w:r>
        <w:rPr>
          <w:rFonts w:ascii="Arial" w:hAnsi="Arial"/>
          <w:b/>
          <w:i w:val="0"/>
          <w:color w:val="1C2731"/>
          <w:sz w:val="17"/>
        </w:rPr>
        <w:t xml:space="preserve">Technical soundness. </w:t>
      </w:r>
      <w:r>
        <w:rPr>
          <w:rFonts w:ascii="Arial" w:hAnsi="Arial"/>
          <w:b w:val="0"/>
          <w:i w:val="0"/>
          <w:color w:val="1C2731"/>
          <w:sz w:val="17"/>
        </w:rPr>
        <w:t>In my professional judgment, this framework is:</w:t>
      </w:r>
    </w:p>
    <w:tbl>
      <w:tblPr>
        <w:tblW w:type="dxa" w:w="10368"/>
        <w:tblLayout w:type="fixed"/>
        <w:tblLook w:firstColumn="1" w:firstRow="1" w:lastColumn="0" w:lastRow="0" w:noHBand="0" w:noVBand="1" w:val="04A0"/>
        <w:tblBorders>
          <w:top w:val="single" w:sz="4" w:color="8EA2B3"/>
          <w:left w:val="single" w:sz="4" w:color="8EA2B3"/>
          <w:bottom w:val="single" w:sz="4" w:color="8EA2B3"/>
          <w:right w:val="single" w:sz="4" w:color="8EA2B3"/>
          <w:insideH w:val="single" w:sz="4" w:color="8EA2B3"/>
          <w:insideV w:val="single" w:sz="4" w:color="8EA2B3"/>
        </w:tblBorders>
      </w:tblPr>
      <w:tblGrid>
        <w:gridCol w:w="4824"/>
        <w:gridCol w:w="3168"/>
        <w:gridCol w:w="2376"/>
      </w:tblGrid>
      <w:tr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Technically sound and consistent with professional control-testing practice for a synthetic reference prototype</w:t>
            </w:r>
          </w:p>
        </w:tc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Technically sound with minor reservations explained below</w:t>
            </w:r>
          </w:p>
        </w:tc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Not technically sound, as explained below</w:t>
            </w:r>
          </w:p>
        </w:tc>
      </w:tr>
    </w:tbl>
    <w:p>
      <w:pPr>
        <w:spacing w:before="20" w:after="30"/>
      </w:pPr>
      <w:r>
        <w:rPr>
          <w:rFonts w:ascii="Arial" w:hAnsi="Arial"/>
          <w:b w:val="0"/>
          <w:i/>
          <w:color w:val="56626C"/>
          <w:sz w:val="15"/>
        </w:rPr>
        <w:t xml:space="preserve">Comments (optional): </w:t>
      </w:r>
      <w:r>
        <w:rPr>
          <w:rFonts w:ascii="Arial" w:hAnsi="Arial"/>
          <w:b w:val="0"/>
          <w:i w:val="0"/>
          <w:color w:val="56626C"/>
          <w:sz w:val="15"/>
        </w:rPr>
        <w:t>____________________________________________________________</w:t>
      </w:r>
    </w:p>
    <w:p>
      <w:pPr>
        <w:keepNext/>
        <w:spacing w:before="50" w:after="20"/>
      </w:pPr>
      <w:r>
        <w:rPr>
          <w:rFonts w:ascii="Arial" w:hAnsi="Arial"/>
          <w:b/>
          <w:i w:val="0"/>
          <w:color w:val="1C2731"/>
          <w:sz w:val="17"/>
        </w:rPr>
        <w:t xml:space="preserve">Claims and limitations. </w:t>
      </w:r>
      <w:r>
        <w:rPr>
          <w:rFonts w:ascii="Arial" w:hAnsi="Arial"/>
          <w:b w:val="0"/>
          <w:i w:val="0"/>
          <w:color w:val="1C2731"/>
          <w:sz w:val="17"/>
        </w:rPr>
        <w:t>In my professional judgment, the framework's claims are:</w:t>
      </w:r>
    </w:p>
    <w:tbl>
      <w:tblPr>
        <w:tblW w:type="dxa" w:w="10368"/>
        <w:tblLayout w:type="fixed"/>
        <w:tblLook w:firstColumn="1" w:firstRow="1" w:lastColumn="0" w:lastRow="0" w:noHBand="0" w:noVBand="1" w:val="04A0"/>
        <w:tblBorders>
          <w:top w:val="single" w:sz="4" w:color="8EA2B3"/>
          <w:left w:val="single" w:sz="4" w:color="8EA2B3"/>
          <w:bottom w:val="single" w:sz="4" w:color="8EA2B3"/>
          <w:right w:val="single" w:sz="4" w:color="8EA2B3"/>
          <w:insideH w:val="single" w:sz="4" w:color="8EA2B3"/>
          <w:insideV w:val="single" w:sz="4" w:color="8EA2B3"/>
        </w:tblBorders>
      </w:tblPr>
      <w:tblGrid>
        <w:gridCol w:w="4824"/>
        <w:gridCol w:w="3168"/>
        <w:gridCol w:w="2376"/>
      </w:tblGrid>
      <w:tr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Appropriately bounded to what the demonstration establishes</w:t>
            </w:r>
          </w:p>
        </w:tc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Generally appropriate, but some claims are overstated as explained below</w:t>
            </w:r>
          </w:p>
        </w:tc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Not appropriately bounded, as explained below</w:t>
            </w:r>
          </w:p>
        </w:tc>
      </w:tr>
    </w:tbl>
    <w:p>
      <w:pPr>
        <w:spacing w:before="20" w:after="30"/>
      </w:pPr>
      <w:r>
        <w:rPr>
          <w:rFonts w:ascii="Arial" w:hAnsi="Arial"/>
          <w:b w:val="0"/>
          <w:i/>
          <w:color w:val="56626C"/>
          <w:sz w:val="15"/>
        </w:rPr>
        <w:t xml:space="preserve">Comments (optional): </w:t>
      </w:r>
      <w:r>
        <w:rPr>
          <w:rFonts w:ascii="Arial" w:hAnsi="Arial"/>
          <w:b w:val="0"/>
          <w:i w:val="0"/>
          <w:color w:val="56626C"/>
          <w:sz w:val="15"/>
        </w:rPr>
        <w:t>____________________________________________________________</w:t>
      </w:r>
    </w:p>
    <w:p>
      <w:pPr>
        <w:keepNext/>
        <w:spacing w:before="50" w:after="20"/>
      </w:pPr>
      <w:r>
        <w:rPr>
          <w:rFonts w:ascii="Arial" w:hAnsi="Arial"/>
          <w:b/>
          <w:i w:val="0"/>
          <w:color w:val="1C2731"/>
          <w:sz w:val="17"/>
        </w:rPr>
        <w:t xml:space="preserve">Transferability. </w:t>
      </w:r>
      <w:r>
        <w:rPr>
          <w:rFonts w:ascii="Arial" w:hAnsi="Arial"/>
          <w:b w:val="0"/>
          <w:i w:val="0"/>
          <w:color w:val="1C2731"/>
          <w:sz w:val="17"/>
        </w:rPr>
        <w:t>In my professional judgment, this methodology:</w:t>
      </w:r>
    </w:p>
    <w:tbl>
      <w:tblPr>
        <w:tblW w:type="dxa" w:w="10368"/>
        <w:tblLayout w:type="fixed"/>
        <w:tblLook w:firstColumn="1" w:firstRow="1" w:lastColumn="0" w:lastRow="0" w:noHBand="0" w:noVBand="1" w:val="04A0"/>
        <w:tblBorders>
          <w:top w:val="single" w:sz="4" w:color="8EA2B3"/>
          <w:left w:val="single" w:sz="4" w:color="8EA2B3"/>
          <w:bottom w:val="single" w:sz="4" w:color="8EA2B3"/>
          <w:right w:val="single" w:sz="4" w:color="8EA2B3"/>
          <w:insideH w:val="single" w:sz="4" w:color="8EA2B3"/>
          <w:insideV w:val="single" w:sz="4" w:color="8EA2B3"/>
        </w:tblBorders>
      </w:tblPr>
      <w:tblGrid>
        <w:gridCol w:w="4824"/>
        <w:gridCol w:w="3168"/>
        <w:gridCol w:w="2376"/>
      </w:tblGrid>
      <w:tr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Could be adapted by other institutions or practitioners to their own authorized data and control environments</w:t>
            </w:r>
          </w:p>
        </w:tc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Could be adapted with significant effort, as explained below</w:t>
            </w:r>
          </w:p>
        </w:tc>
        <w:tc>
          <w:tcPr>
            <w:tcW w:type="dxa" w:w="35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2731"/>
                <w:sz w:val="15"/>
              </w:rPr>
              <w:t>☐ Is not practically transferable, as explained below</w:t>
            </w:r>
          </w:p>
        </w:tc>
      </w:tr>
    </w:tbl>
    <w:p>
      <w:pPr>
        <w:spacing w:before="20" w:after="30"/>
      </w:pPr>
      <w:r>
        <w:rPr>
          <w:rFonts w:ascii="Arial" w:hAnsi="Arial"/>
          <w:b w:val="0"/>
          <w:i/>
          <w:color w:val="56626C"/>
          <w:sz w:val="15"/>
        </w:rPr>
        <w:t xml:space="preserve">Comments (optional): </w:t>
      </w:r>
      <w:r>
        <w:rPr>
          <w:rFonts w:ascii="Arial" w:hAnsi="Arial"/>
          <w:b w:val="0"/>
          <w:i w:val="0"/>
          <w:color w:val="56626C"/>
          <w:sz w:val="15"/>
        </w:rPr>
        <w:t>____________________________________________________________</w:t>
      </w:r>
    </w:p>
    <w:p>
      <w:pPr>
        <w:keepNext/>
        <w:spacing w:before="60" w:after="40"/>
      </w:pPr>
      <w:r>
        <w:rPr>
          <w:rFonts w:ascii="Arial" w:hAnsi="Arial"/>
          <w:b/>
          <w:i w:val="0"/>
          <w:color w:val="1C2731"/>
          <w:sz w:val="17"/>
        </w:rPr>
        <w:t xml:space="preserve">Overall assessment. </w:t>
      </w:r>
      <w:r>
        <w:rPr>
          <w:rFonts w:ascii="Arial" w:hAnsi="Arial"/>
          <w:b w:val="0"/>
          <w:i w:val="0"/>
          <w:color w:val="1C2731"/>
          <w:sz w:val="17"/>
        </w:rPr>
        <w:t>Briefly address technical soundness, limitations, and potential transferability (2-4 sentences):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single" w:sz="5" w:color="8EA2B3"/>
          <w:left w:val="single" w:sz="5" w:color="8EA2B3"/>
          <w:bottom w:val="single" w:sz="5" w:color="8EA2B3"/>
          <w:right w:val="single" w:sz="5" w:color="8EA2B3"/>
          <w:insideH w:val="single" w:sz="5" w:color="8EA2B3"/>
          <w:insideV w:val="single" w:sz="5" w:color="8EA2B3"/>
        </w:tblBorders>
      </w:tblPr>
      <w:tblGrid>
        <w:gridCol w:w="10656"/>
      </w:tblGrid>
      <w:tr>
        <w:trPr>
          <w:trHeight w:val="1037" w:hRule="atLeast"/>
        </w:trPr>
        <w:tc>
          <w:tcPr>
            <w:tcW w:type="dxa" w:w="106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Arial" w:hAnsi="Arial"/>
                <w:b w:val="0"/>
                <w:i w:val="0"/>
                <w:color w:val="1C2731"/>
                <w:sz w:val="17"/>
              </w:rPr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i w:val="0"/>
          <w:color w:val="193A5A"/>
          <w:sz w:val="20"/>
        </w:rPr>
        <w:t>4. Confirmation</w:t>
      </w:r>
    </w:p>
    <w:p>
      <w:pPr>
        <w:spacing w:after="60"/>
      </w:pPr>
      <w:r>
        <w:rPr>
          <w:rFonts w:ascii="Arial" w:hAnsi="Arial"/>
          <w:b w:val="0"/>
          <w:i w:val="0"/>
          <w:color w:val="1C2731"/>
          <w:sz w:val="15"/>
        </w:rPr>
        <w:t>This response reflects my independent professional judgment based on the materials and procedures identified above. It does not constitute institutional endorsement, regulatory approval, certification, a claim of institutional adoption, or a claim about production performance. I consent to this response being cited publicly and in professional or immigration-related submissions as evidence of independent review.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40"/>
        <w:gridCol w:w="4536"/>
        <w:gridCol w:w="2880"/>
      </w:tblGrid>
      <w:tr>
        <w:tc>
          <w:tcPr>
            <w:tcW w:type="dxa" w:w="355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>Name (printed): __________________</w:t>
            </w:r>
          </w:p>
        </w:tc>
        <w:tc>
          <w:tcPr>
            <w:tcW w:type="dxa" w:w="355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>Signature: __________________________</w:t>
            </w:r>
          </w:p>
        </w:tc>
        <w:tc>
          <w:tcPr>
            <w:tcW w:type="dxa" w:w="355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rFonts w:ascii="Arial" w:hAnsi="Arial"/>
                <w:b/>
                <w:i w:val="0"/>
                <w:color w:val="1C2731"/>
                <w:sz w:val="16"/>
              </w:rPr>
              <w:t>Date: 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6626C"/>
        <w:sz w:val="14"/>
      </w:rPr>
      <w:t>CCAF independent review | Stable snapshot: review-v1.3.1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1C273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CCAF Independent Technical Review Response</dc:title>
  <dc:subject>Well-spaced one-page independent technical review response form</dc:subject>
  <dc:creator>Ayodele Timothy Adeniyi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