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B25" w:rsidRPr="00C26B25" w:rsidRDefault="00C26B25" w:rsidP="00C26B25">
      <w:pPr>
        <w:spacing w:before="100" w:beforeAutospacing="1" w:after="100" w:afterAutospacing="1" w:line="240" w:lineRule="auto"/>
        <w:outlineLvl w:val="0"/>
        <w:rPr>
          <w:rFonts w:ascii="Arial" w:eastAsia="Times New Roman" w:hAnsi="Arial" w:cs="Arial"/>
          <w:b/>
          <w:bCs/>
          <w:kern w:val="36"/>
          <w:sz w:val="40"/>
          <w:szCs w:val="40"/>
        </w:rPr>
      </w:pPr>
      <w:r w:rsidRPr="00C26B25">
        <w:rPr>
          <w:rFonts w:ascii="Arial" w:eastAsia="Times New Roman" w:hAnsi="Arial" w:cs="Arial"/>
          <w:b/>
          <w:bCs/>
          <w:kern w:val="36"/>
          <w:sz w:val="40"/>
          <w:szCs w:val="40"/>
        </w:rPr>
        <w:t>AAPL Historical Stock Market Analysis:</w:t>
      </w:r>
      <w:r w:rsidRPr="00C26B25">
        <w:rPr>
          <w:rFonts w:ascii="Arial" w:eastAsia="Times New Roman" w:hAnsi="Arial" w:cs="Arial"/>
          <w:b/>
          <w:bCs/>
          <w:kern w:val="36"/>
          <w:sz w:val="48"/>
          <w:szCs w:val="48"/>
        </w:rPr>
        <w:t xml:space="preserve"> </w:t>
      </w:r>
      <w:r w:rsidRPr="00C26B25">
        <w:rPr>
          <w:rFonts w:ascii="Arial" w:eastAsia="Times New Roman" w:hAnsi="Arial" w:cs="Arial"/>
          <w:b/>
          <w:bCs/>
          <w:kern w:val="36"/>
          <w:sz w:val="40"/>
          <w:szCs w:val="40"/>
        </w:rPr>
        <w:t>Insight Summary</w:t>
      </w:r>
    </w:p>
    <w:p w:rsidR="00C26B25" w:rsidRPr="00C26B25" w:rsidRDefault="00C26B25" w:rsidP="00C26B25">
      <w:pPr>
        <w:spacing w:before="100" w:beforeAutospacing="1" w:after="100" w:afterAutospacing="1" w:line="240" w:lineRule="auto"/>
        <w:outlineLvl w:val="1"/>
        <w:rPr>
          <w:rFonts w:ascii="Arial" w:eastAsia="Times New Roman" w:hAnsi="Arial" w:cs="Arial"/>
          <w:b/>
          <w:bCs/>
          <w:sz w:val="36"/>
          <w:szCs w:val="36"/>
        </w:rPr>
      </w:pPr>
      <w:r w:rsidRPr="00C26B25">
        <w:rPr>
          <w:rFonts w:ascii="Arial" w:eastAsia="Times New Roman" w:hAnsi="Arial" w:cs="Arial"/>
          <w:b/>
          <w:bCs/>
          <w:sz w:val="36"/>
          <w:szCs w:val="36"/>
        </w:rPr>
        <w:t>1. Dataset Overview</w:t>
      </w:r>
      <w:bookmarkStart w:id="0" w:name="_GoBack"/>
      <w:bookmarkEnd w:id="0"/>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This analysis examined Apple Inc. (AAPL) historical stock market data covering the period from </w:t>
      </w:r>
      <w:r w:rsidRPr="00C26B25">
        <w:rPr>
          <w:rFonts w:ascii="Arial" w:eastAsia="Times New Roman" w:hAnsi="Arial" w:cs="Arial"/>
          <w:bCs/>
          <w:sz w:val="24"/>
          <w:szCs w:val="24"/>
        </w:rPr>
        <w:t>January 2, 2020, to August 10, 2026</w:t>
      </w:r>
      <w:r w:rsidRPr="00C26B25">
        <w:rPr>
          <w:rFonts w:ascii="Arial" w:eastAsia="Times New Roman" w:hAnsi="Arial" w:cs="Arial"/>
          <w:sz w:val="24"/>
          <w:szCs w:val="24"/>
        </w:rPr>
        <w:t xml:space="preserve">. The dataset contained </w:t>
      </w:r>
      <w:r w:rsidRPr="00C26B25">
        <w:rPr>
          <w:rFonts w:ascii="Arial" w:eastAsia="Times New Roman" w:hAnsi="Arial" w:cs="Arial"/>
          <w:bCs/>
          <w:sz w:val="24"/>
          <w:szCs w:val="24"/>
        </w:rPr>
        <w:t>1,659 trading-day observations</w:t>
      </w:r>
      <w:r w:rsidRPr="00C26B25">
        <w:rPr>
          <w:rFonts w:ascii="Arial" w:eastAsia="Times New Roman" w:hAnsi="Arial" w:cs="Arial"/>
          <w:sz w:val="24"/>
          <w:szCs w:val="24"/>
        </w:rPr>
        <w:t xml:space="preserve"> and five core variables: closing price, opening price, high price, low price, and trading volume.</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The dataset was retrieved using the </w:t>
      </w:r>
      <w:proofErr w:type="spellStart"/>
      <w:r w:rsidRPr="00C26B25">
        <w:rPr>
          <w:rFonts w:ascii="Arial" w:eastAsia="Times New Roman" w:hAnsi="Arial" w:cs="Arial"/>
          <w:sz w:val="20"/>
          <w:szCs w:val="20"/>
        </w:rPr>
        <w:t>yfinance</w:t>
      </w:r>
      <w:proofErr w:type="spellEnd"/>
      <w:r w:rsidRPr="00C26B25">
        <w:rPr>
          <w:rFonts w:ascii="Arial" w:eastAsia="Times New Roman" w:hAnsi="Arial" w:cs="Arial"/>
          <w:sz w:val="24"/>
          <w:szCs w:val="24"/>
        </w:rPr>
        <w:t xml:space="preserve"> Python library and analyzed using Pandas and </w:t>
      </w:r>
      <w:proofErr w:type="spellStart"/>
      <w:r w:rsidRPr="00C26B25">
        <w:rPr>
          <w:rFonts w:ascii="Arial" w:eastAsia="Times New Roman" w:hAnsi="Arial" w:cs="Arial"/>
          <w:sz w:val="24"/>
          <w:szCs w:val="24"/>
        </w:rPr>
        <w:t>Matplotlib</w:t>
      </w:r>
      <w:proofErr w:type="spellEnd"/>
      <w:r w:rsidRPr="00C26B25">
        <w:rPr>
          <w:rFonts w:ascii="Arial" w:eastAsia="Times New Roman" w:hAnsi="Arial" w:cs="Arial"/>
          <w:sz w:val="24"/>
          <w:szCs w:val="24"/>
        </w:rPr>
        <w:t xml:space="preserve">. Initial data-quality checks found </w:t>
      </w:r>
      <w:r w:rsidRPr="00C26B25">
        <w:rPr>
          <w:rFonts w:ascii="Arial" w:eastAsia="Times New Roman" w:hAnsi="Arial" w:cs="Arial"/>
          <w:bCs/>
          <w:sz w:val="24"/>
          <w:szCs w:val="24"/>
        </w:rPr>
        <w:t>no missing values and no duplicate dates</w:t>
      </w:r>
      <w:r w:rsidRPr="00C26B25">
        <w:rPr>
          <w:rFonts w:ascii="Arial" w:eastAsia="Times New Roman" w:hAnsi="Arial" w:cs="Arial"/>
          <w:sz w:val="24"/>
          <w:szCs w:val="24"/>
        </w:rPr>
        <w:t xml:space="preserve">. The date index was also confirmed to be correctly formatted as a </w:t>
      </w:r>
      <w:proofErr w:type="spellStart"/>
      <w:r w:rsidRPr="00C26B25">
        <w:rPr>
          <w:rFonts w:ascii="Arial" w:eastAsia="Times New Roman" w:hAnsi="Arial" w:cs="Arial"/>
          <w:sz w:val="24"/>
          <w:szCs w:val="24"/>
        </w:rPr>
        <w:t>datetime</w:t>
      </w:r>
      <w:proofErr w:type="spellEnd"/>
      <w:r w:rsidRPr="00C26B25">
        <w:rPr>
          <w:rFonts w:ascii="Arial" w:eastAsia="Times New Roman" w:hAnsi="Arial" w:cs="Arial"/>
          <w:sz w:val="24"/>
          <w:szCs w:val="24"/>
        </w:rPr>
        <w:t xml:space="preserve"> index.</w:t>
      </w:r>
    </w:p>
    <w:p w:rsidR="00C26B25" w:rsidRPr="00C26B25" w:rsidRDefault="00C26B25" w:rsidP="00C26B25">
      <w:pPr>
        <w:spacing w:before="100" w:beforeAutospacing="1" w:after="100" w:afterAutospacing="1" w:line="240" w:lineRule="auto"/>
        <w:outlineLvl w:val="1"/>
        <w:rPr>
          <w:rFonts w:ascii="Arial" w:eastAsia="Times New Roman" w:hAnsi="Arial" w:cs="Arial"/>
          <w:b/>
          <w:bCs/>
          <w:sz w:val="36"/>
          <w:szCs w:val="36"/>
        </w:rPr>
      </w:pPr>
      <w:r w:rsidRPr="00C26B25">
        <w:rPr>
          <w:rFonts w:ascii="Arial" w:eastAsia="Times New Roman" w:hAnsi="Arial" w:cs="Arial"/>
          <w:b/>
          <w:bCs/>
          <w:sz w:val="36"/>
          <w:szCs w:val="36"/>
        </w:rPr>
        <w:t>2. Data Transformation Techniques Applied</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Several Pandas transformations were applied to prepare the dataset for time-series analysis.</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The dataset was sorted chronologically and the multi-level column structure returned by </w:t>
      </w:r>
      <w:proofErr w:type="spellStart"/>
      <w:r w:rsidRPr="00C26B25">
        <w:rPr>
          <w:rFonts w:ascii="Arial" w:eastAsia="Times New Roman" w:hAnsi="Arial" w:cs="Arial"/>
          <w:sz w:val="20"/>
          <w:szCs w:val="20"/>
        </w:rPr>
        <w:t>yfinance</w:t>
      </w:r>
      <w:proofErr w:type="spellEnd"/>
      <w:r w:rsidRPr="00C26B25">
        <w:rPr>
          <w:rFonts w:ascii="Arial" w:eastAsia="Times New Roman" w:hAnsi="Arial" w:cs="Arial"/>
          <w:sz w:val="24"/>
          <w:szCs w:val="24"/>
        </w:rPr>
        <w:t xml:space="preserve"> was flattened into standard column names. Calculated features were then created, including:</w:t>
      </w:r>
    </w:p>
    <w:p w:rsidR="00C26B25" w:rsidRPr="00C26B25" w:rsidRDefault="00C26B25" w:rsidP="00C26B25">
      <w:pPr>
        <w:numPr>
          <w:ilvl w:val="0"/>
          <w:numId w:val="1"/>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Daily Price Change</w:t>
      </w:r>
    </w:p>
    <w:p w:rsidR="00C26B25" w:rsidRPr="00C26B25" w:rsidRDefault="00C26B25" w:rsidP="00C26B25">
      <w:pPr>
        <w:numPr>
          <w:ilvl w:val="0"/>
          <w:numId w:val="1"/>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Percentage Price Change</w:t>
      </w:r>
    </w:p>
    <w:p w:rsidR="00C26B25" w:rsidRPr="00C26B25" w:rsidRDefault="00C26B25" w:rsidP="00C26B25">
      <w:pPr>
        <w:numPr>
          <w:ilvl w:val="0"/>
          <w:numId w:val="1"/>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7-Day Moving Average</w:t>
      </w:r>
    </w:p>
    <w:p w:rsidR="00C26B25" w:rsidRPr="00C26B25" w:rsidRDefault="00C26B25" w:rsidP="00C26B25">
      <w:pPr>
        <w:numPr>
          <w:ilvl w:val="0"/>
          <w:numId w:val="1"/>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30-Day Moving Average</w:t>
      </w:r>
    </w:p>
    <w:p w:rsidR="00C26B25" w:rsidRPr="00C26B25" w:rsidRDefault="00C26B25" w:rsidP="00C26B25">
      <w:pPr>
        <w:numPr>
          <w:ilvl w:val="0"/>
          <w:numId w:val="1"/>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Monthly Return</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The daily data was also resampled into monthly observations. Monthly closing prices were represented by the final trading day's closing price, while monthly trading volume was calculated by summing daily volumes.</w:t>
      </w:r>
    </w:p>
    <w:p w:rsidR="00C26B25" w:rsidRPr="00C26B25" w:rsidRDefault="00C26B25" w:rsidP="00C26B25">
      <w:pPr>
        <w:spacing w:before="100" w:beforeAutospacing="1" w:after="100" w:afterAutospacing="1" w:line="240" w:lineRule="auto"/>
        <w:outlineLvl w:val="1"/>
        <w:rPr>
          <w:rFonts w:ascii="Arial" w:eastAsia="Times New Roman" w:hAnsi="Arial" w:cs="Arial"/>
          <w:b/>
          <w:bCs/>
          <w:sz w:val="36"/>
          <w:szCs w:val="36"/>
        </w:rPr>
      </w:pPr>
      <w:r w:rsidRPr="00C26B25">
        <w:rPr>
          <w:rFonts w:ascii="Arial" w:eastAsia="Times New Roman" w:hAnsi="Arial" w:cs="Arial"/>
          <w:b/>
          <w:bCs/>
          <w:sz w:val="36"/>
          <w:szCs w:val="36"/>
        </w:rPr>
        <w:t>3. Trends Identified</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A strong upward trend was observed in AAPL's closing price over the analysis period. The closing price increased from </w:t>
      </w:r>
      <w:r w:rsidRPr="00C26B25">
        <w:rPr>
          <w:rFonts w:ascii="Arial" w:eastAsia="Times New Roman" w:hAnsi="Arial" w:cs="Arial"/>
          <w:bCs/>
          <w:sz w:val="24"/>
          <w:szCs w:val="24"/>
        </w:rPr>
        <w:t>$72.27</w:t>
      </w:r>
      <w:r w:rsidRPr="00C26B25">
        <w:rPr>
          <w:rFonts w:ascii="Arial" w:eastAsia="Times New Roman" w:hAnsi="Arial" w:cs="Arial"/>
          <w:sz w:val="24"/>
          <w:szCs w:val="24"/>
        </w:rPr>
        <w:t xml:space="preserve"> at the beginning of the dataset to </w:t>
      </w:r>
      <w:r w:rsidRPr="00C26B25">
        <w:rPr>
          <w:rFonts w:ascii="Arial" w:eastAsia="Times New Roman" w:hAnsi="Arial" w:cs="Arial"/>
          <w:bCs/>
          <w:sz w:val="24"/>
          <w:szCs w:val="24"/>
        </w:rPr>
        <w:t>$308.26</w:t>
      </w:r>
      <w:r w:rsidRPr="00C26B25">
        <w:rPr>
          <w:rFonts w:ascii="Arial" w:eastAsia="Times New Roman" w:hAnsi="Arial" w:cs="Arial"/>
          <w:sz w:val="24"/>
          <w:szCs w:val="24"/>
        </w:rPr>
        <w:t xml:space="preserve"> at the end, representing an overall increase of approximately </w:t>
      </w:r>
      <w:r w:rsidRPr="00C26B25">
        <w:rPr>
          <w:rFonts w:ascii="Arial" w:eastAsia="Times New Roman" w:hAnsi="Arial" w:cs="Arial"/>
          <w:bCs/>
          <w:sz w:val="24"/>
          <w:szCs w:val="24"/>
        </w:rPr>
        <w:t>326.53%</w:t>
      </w:r>
      <w:r w:rsidRPr="00C26B25">
        <w:rPr>
          <w:rFonts w:ascii="Arial" w:eastAsia="Times New Roman" w:hAnsi="Arial" w:cs="Arial"/>
          <w:sz w:val="24"/>
          <w:szCs w:val="24"/>
        </w:rPr>
        <w:t>.</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However, the upward trend was accompanied by substantial short-term fluctuations. The average monthly return was approximately </w:t>
      </w:r>
      <w:r w:rsidRPr="00C26B25">
        <w:rPr>
          <w:rFonts w:ascii="Arial" w:eastAsia="Times New Roman" w:hAnsi="Arial" w:cs="Arial"/>
          <w:bCs/>
          <w:sz w:val="24"/>
          <w:szCs w:val="24"/>
        </w:rPr>
        <w:t>+2.12%</w:t>
      </w:r>
      <w:r w:rsidRPr="00C26B25">
        <w:rPr>
          <w:rFonts w:ascii="Arial" w:eastAsia="Times New Roman" w:hAnsi="Arial" w:cs="Arial"/>
          <w:sz w:val="24"/>
          <w:szCs w:val="24"/>
        </w:rPr>
        <w:t xml:space="preserve">, while daily return volatility, measured using the standard deviation of daily percentage changes, was approximately </w:t>
      </w:r>
      <w:r w:rsidRPr="00C26B25">
        <w:rPr>
          <w:rFonts w:ascii="Arial" w:eastAsia="Times New Roman" w:hAnsi="Arial" w:cs="Arial"/>
          <w:bCs/>
          <w:sz w:val="24"/>
          <w:szCs w:val="24"/>
        </w:rPr>
        <w:t>1.98%</w:t>
      </w:r>
      <w:r w:rsidRPr="00C26B25">
        <w:rPr>
          <w:rFonts w:ascii="Arial" w:eastAsia="Times New Roman" w:hAnsi="Arial" w:cs="Arial"/>
          <w:sz w:val="24"/>
          <w:szCs w:val="24"/>
        </w:rPr>
        <w:t>.</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lastRenderedPageBreak/>
        <w:t xml:space="preserve">The moving-average analysis showed that the </w:t>
      </w:r>
      <w:r w:rsidRPr="00C26B25">
        <w:rPr>
          <w:rFonts w:ascii="Arial" w:eastAsia="Times New Roman" w:hAnsi="Arial" w:cs="Arial"/>
          <w:bCs/>
          <w:sz w:val="24"/>
          <w:szCs w:val="24"/>
        </w:rPr>
        <w:t>7-day moving average</w:t>
      </w:r>
      <w:r w:rsidRPr="00C26B25">
        <w:rPr>
          <w:rFonts w:ascii="Arial" w:eastAsia="Times New Roman" w:hAnsi="Arial" w:cs="Arial"/>
          <w:sz w:val="24"/>
          <w:szCs w:val="24"/>
        </w:rPr>
        <w:t xml:space="preserve"> responded more quickly to short-term price movements, while the </w:t>
      </w:r>
      <w:r w:rsidRPr="00C26B25">
        <w:rPr>
          <w:rFonts w:ascii="Arial" w:eastAsia="Times New Roman" w:hAnsi="Arial" w:cs="Arial"/>
          <w:bCs/>
          <w:sz w:val="24"/>
          <w:szCs w:val="24"/>
        </w:rPr>
        <w:t>30-day moving average</w:t>
      </w:r>
      <w:r w:rsidRPr="00C26B25">
        <w:rPr>
          <w:rFonts w:ascii="Arial" w:eastAsia="Times New Roman" w:hAnsi="Arial" w:cs="Arial"/>
          <w:sz w:val="24"/>
          <w:szCs w:val="24"/>
        </w:rPr>
        <w:t xml:space="preserve"> provided a smoother representation of longer-term trends.</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Trading volume also varied significantly throughout the period, with particularly large </w:t>
      </w:r>
      <w:proofErr w:type="gramStart"/>
      <w:r w:rsidRPr="00C26B25">
        <w:rPr>
          <w:rFonts w:ascii="Arial" w:eastAsia="Times New Roman" w:hAnsi="Arial" w:cs="Arial"/>
          <w:sz w:val="24"/>
          <w:szCs w:val="24"/>
        </w:rPr>
        <w:t>spikes</w:t>
      </w:r>
      <w:proofErr w:type="gramEnd"/>
      <w:r w:rsidRPr="00C26B25">
        <w:rPr>
          <w:rFonts w:ascii="Arial" w:eastAsia="Times New Roman" w:hAnsi="Arial" w:cs="Arial"/>
          <w:sz w:val="24"/>
          <w:szCs w:val="24"/>
        </w:rPr>
        <w:t xml:space="preserve"> occurring during the earlier years of the dataset.</w:t>
      </w:r>
    </w:p>
    <w:p w:rsidR="00C26B25" w:rsidRPr="00C26B25" w:rsidRDefault="00C26B25" w:rsidP="00C26B25">
      <w:pPr>
        <w:spacing w:before="100" w:beforeAutospacing="1" w:after="100" w:afterAutospacing="1" w:line="240" w:lineRule="auto"/>
        <w:outlineLvl w:val="1"/>
        <w:rPr>
          <w:rFonts w:ascii="Arial" w:eastAsia="Times New Roman" w:hAnsi="Arial" w:cs="Arial"/>
          <w:b/>
          <w:bCs/>
          <w:sz w:val="36"/>
          <w:szCs w:val="36"/>
        </w:rPr>
      </w:pPr>
      <w:r w:rsidRPr="00C26B25">
        <w:rPr>
          <w:rFonts w:ascii="Arial" w:eastAsia="Times New Roman" w:hAnsi="Arial" w:cs="Arial"/>
          <w:b/>
          <w:bCs/>
          <w:sz w:val="36"/>
          <w:szCs w:val="36"/>
        </w:rPr>
        <w:t>4. Key Insights</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The analysis identified several important patterns:</w:t>
      </w:r>
    </w:p>
    <w:p w:rsidR="00C26B25" w:rsidRPr="00C26B25" w:rsidRDefault="00C26B25" w:rsidP="00C26B25">
      <w:pPr>
        <w:numPr>
          <w:ilvl w:val="0"/>
          <w:numId w:val="2"/>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AAPL experienced substantial long-term price appreciation during the period analyzed.</w:t>
      </w:r>
    </w:p>
    <w:p w:rsidR="00C26B25" w:rsidRPr="00C26B25" w:rsidRDefault="00C26B25" w:rsidP="00C26B25">
      <w:pPr>
        <w:numPr>
          <w:ilvl w:val="0"/>
          <w:numId w:val="2"/>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Short-term performance was considerably more volatile than the long-term trend might suggest.</w:t>
      </w:r>
    </w:p>
    <w:p w:rsidR="00C26B25" w:rsidRPr="00C26B25" w:rsidRDefault="00C26B25" w:rsidP="00C26B25">
      <w:pPr>
        <w:numPr>
          <w:ilvl w:val="0"/>
          <w:numId w:val="2"/>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The strongest monthly return occurred in </w:t>
      </w:r>
      <w:r w:rsidRPr="00C26B25">
        <w:rPr>
          <w:rFonts w:ascii="Arial" w:eastAsia="Times New Roman" w:hAnsi="Arial" w:cs="Arial"/>
          <w:bCs/>
          <w:sz w:val="24"/>
          <w:szCs w:val="24"/>
        </w:rPr>
        <w:t>August 2020 at +21.66%</w:t>
      </w:r>
      <w:r w:rsidRPr="00C26B25">
        <w:rPr>
          <w:rFonts w:ascii="Arial" w:eastAsia="Times New Roman" w:hAnsi="Arial" w:cs="Arial"/>
          <w:sz w:val="24"/>
          <w:szCs w:val="24"/>
        </w:rPr>
        <w:t>.</w:t>
      </w:r>
    </w:p>
    <w:p w:rsidR="00C26B25" w:rsidRPr="00C26B25" w:rsidRDefault="00C26B25" w:rsidP="00C26B25">
      <w:pPr>
        <w:numPr>
          <w:ilvl w:val="0"/>
          <w:numId w:val="2"/>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The weakest monthly return occurred in </w:t>
      </w:r>
      <w:r w:rsidRPr="00C26B25">
        <w:rPr>
          <w:rFonts w:ascii="Arial" w:eastAsia="Times New Roman" w:hAnsi="Arial" w:cs="Arial"/>
          <w:bCs/>
          <w:sz w:val="24"/>
          <w:szCs w:val="24"/>
        </w:rPr>
        <w:t>December 2022 at -12.23%</w:t>
      </w:r>
      <w:r w:rsidRPr="00C26B25">
        <w:rPr>
          <w:rFonts w:ascii="Arial" w:eastAsia="Times New Roman" w:hAnsi="Arial" w:cs="Arial"/>
          <w:sz w:val="24"/>
          <w:szCs w:val="24"/>
        </w:rPr>
        <w:t>.</w:t>
      </w:r>
    </w:p>
    <w:p w:rsidR="00C26B25" w:rsidRPr="00C26B25" w:rsidRDefault="00C26B25" w:rsidP="00C26B25">
      <w:pPr>
        <w:numPr>
          <w:ilvl w:val="0"/>
          <w:numId w:val="2"/>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Moving averages provided useful indicators for distinguishing short-term price movements from broader trends.</w:t>
      </w:r>
    </w:p>
    <w:p w:rsidR="00C26B25" w:rsidRPr="00C26B25" w:rsidRDefault="00C26B25" w:rsidP="00C26B25">
      <w:pPr>
        <w:numPr>
          <w:ilvl w:val="0"/>
          <w:numId w:val="2"/>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Trading volume experienced substantial fluctuations, indicating periods of unusually high market activity.</w:t>
      </w:r>
    </w:p>
    <w:p w:rsidR="00C26B25" w:rsidRPr="00C26B25" w:rsidRDefault="00C26B25" w:rsidP="00C26B25">
      <w:pPr>
        <w:spacing w:before="100" w:beforeAutospacing="1" w:after="100" w:afterAutospacing="1" w:line="240" w:lineRule="auto"/>
        <w:outlineLvl w:val="1"/>
        <w:rPr>
          <w:rFonts w:ascii="Arial" w:eastAsia="Times New Roman" w:hAnsi="Arial" w:cs="Arial"/>
          <w:b/>
          <w:bCs/>
          <w:sz w:val="36"/>
          <w:szCs w:val="36"/>
        </w:rPr>
      </w:pPr>
      <w:r w:rsidRPr="00C26B25">
        <w:rPr>
          <w:rFonts w:ascii="Arial" w:eastAsia="Times New Roman" w:hAnsi="Arial" w:cs="Arial"/>
          <w:b/>
          <w:bCs/>
          <w:sz w:val="36"/>
          <w:szCs w:val="36"/>
        </w:rPr>
        <w:t>5. Recommendations</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Based on the analysis, the following recommendations can be made:</w:t>
      </w:r>
    </w:p>
    <w:p w:rsidR="00C26B25" w:rsidRPr="00C26B25" w:rsidRDefault="00C26B25" w:rsidP="00C26B25">
      <w:pPr>
        <w:numPr>
          <w:ilvl w:val="0"/>
          <w:numId w:val="3"/>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b/>
          <w:bCs/>
          <w:sz w:val="24"/>
          <w:szCs w:val="24"/>
        </w:rPr>
        <w:t>Use moving averages when monitoring trends:</w:t>
      </w:r>
      <w:r w:rsidRPr="00C26B25">
        <w:rPr>
          <w:rFonts w:ascii="Arial" w:eastAsia="Times New Roman" w:hAnsi="Arial" w:cs="Arial"/>
          <w:sz w:val="24"/>
          <w:szCs w:val="24"/>
        </w:rPr>
        <w:t xml:space="preserve"> Combining shorter and longer moving averages can help distinguish short-term price movements from broader trends.</w:t>
      </w:r>
    </w:p>
    <w:p w:rsidR="00C26B25" w:rsidRPr="00C26B25" w:rsidRDefault="00C26B25" w:rsidP="00C26B25">
      <w:pPr>
        <w:numPr>
          <w:ilvl w:val="0"/>
          <w:numId w:val="3"/>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b/>
          <w:bCs/>
          <w:sz w:val="24"/>
          <w:szCs w:val="24"/>
        </w:rPr>
        <w:t>Monitor volatility alongside returns:</w:t>
      </w:r>
      <w:r w:rsidRPr="00C26B25">
        <w:rPr>
          <w:rFonts w:ascii="Arial" w:eastAsia="Times New Roman" w:hAnsi="Arial" w:cs="Arial"/>
          <w:sz w:val="24"/>
          <w:szCs w:val="24"/>
        </w:rPr>
        <w:t xml:space="preserve"> Strong historical returns should be considered alongside periods of significant negative performance and daily volatility.</w:t>
      </w:r>
    </w:p>
    <w:p w:rsidR="00C26B25" w:rsidRPr="00C26B25" w:rsidRDefault="00C26B25" w:rsidP="00C26B25">
      <w:pPr>
        <w:numPr>
          <w:ilvl w:val="0"/>
          <w:numId w:val="3"/>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b/>
          <w:bCs/>
          <w:sz w:val="24"/>
          <w:szCs w:val="24"/>
        </w:rPr>
        <w:t>Track trading volume during major price movements:</w:t>
      </w:r>
      <w:r w:rsidRPr="00C26B25">
        <w:rPr>
          <w:rFonts w:ascii="Arial" w:eastAsia="Times New Roman" w:hAnsi="Arial" w:cs="Arial"/>
          <w:sz w:val="24"/>
          <w:szCs w:val="24"/>
        </w:rPr>
        <w:t xml:space="preserve"> Significant changes in trading volume can help identify periods that warrant closer examination.</w:t>
      </w:r>
    </w:p>
    <w:p w:rsidR="00C26B25" w:rsidRPr="00C26B25" w:rsidRDefault="00C26B25" w:rsidP="00C26B25">
      <w:pPr>
        <w:numPr>
          <w:ilvl w:val="0"/>
          <w:numId w:val="3"/>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b/>
          <w:bCs/>
          <w:sz w:val="24"/>
          <w:szCs w:val="24"/>
        </w:rPr>
        <w:t>Use monthly and daily metrics together:</w:t>
      </w:r>
      <w:r w:rsidRPr="00C26B25">
        <w:rPr>
          <w:rFonts w:ascii="Arial" w:eastAsia="Times New Roman" w:hAnsi="Arial" w:cs="Arial"/>
          <w:sz w:val="24"/>
          <w:szCs w:val="24"/>
        </w:rPr>
        <w:t xml:space="preserve"> Monthly returns provide a broader performance perspective, while daily percentage changes provide greater detail about short-term fluctuations.</w:t>
      </w:r>
    </w:p>
    <w:p w:rsidR="00C26B25" w:rsidRPr="00C26B25" w:rsidRDefault="00C26B25" w:rsidP="00C26B25">
      <w:pPr>
        <w:numPr>
          <w:ilvl w:val="0"/>
          <w:numId w:val="3"/>
        </w:num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b/>
          <w:bCs/>
          <w:sz w:val="24"/>
          <w:szCs w:val="24"/>
        </w:rPr>
        <w:t>Continue monitoring long-term trends:</w:t>
      </w:r>
      <w:r w:rsidRPr="00C26B25">
        <w:rPr>
          <w:rFonts w:ascii="Arial" w:eastAsia="Times New Roman" w:hAnsi="Arial" w:cs="Arial"/>
          <w:sz w:val="24"/>
          <w:szCs w:val="24"/>
        </w:rPr>
        <w:t xml:space="preserve"> Historical performance demonstrates strong price growth, but past performance alone should not be treated as a guarantee of future results.</w:t>
      </w:r>
    </w:p>
    <w:p w:rsidR="00C26B25" w:rsidRPr="00C26B25" w:rsidRDefault="00C26B25" w:rsidP="00C26B25">
      <w:pPr>
        <w:spacing w:before="100" w:beforeAutospacing="1" w:after="100" w:afterAutospacing="1" w:line="240" w:lineRule="auto"/>
        <w:outlineLvl w:val="1"/>
        <w:rPr>
          <w:rFonts w:ascii="Arial" w:eastAsia="Times New Roman" w:hAnsi="Arial" w:cs="Arial"/>
          <w:b/>
          <w:bCs/>
          <w:sz w:val="36"/>
          <w:szCs w:val="36"/>
        </w:rPr>
      </w:pPr>
      <w:r w:rsidRPr="00C26B25">
        <w:rPr>
          <w:rFonts w:ascii="Arial" w:eastAsia="Times New Roman" w:hAnsi="Arial" w:cs="Arial"/>
          <w:b/>
          <w:bCs/>
          <w:sz w:val="36"/>
          <w:szCs w:val="36"/>
        </w:rPr>
        <w:t>6. Conclusion</w:t>
      </w:r>
    </w:p>
    <w:p w:rsidR="00C26B25"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 xml:space="preserve">The analysis demonstrates how Python, Pandas, and time-series techniques can be used to transform historical stock data into meaningful analytical insights. AAPL showed </w:t>
      </w:r>
      <w:r w:rsidRPr="00C26B25">
        <w:rPr>
          <w:rFonts w:ascii="Arial" w:eastAsia="Times New Roman" w:hAnsi="Arial" w:cs="Arial"/>
          <w:sz w:val="24"/>
          <w:szCs w:val="24"/>
        </w:rPr>
        <w:lastRenderedPageBreak/>
        <w:t xml:space="preserve">strong long-term growth during the period analyzed, increasing by approximately </w:t>
      </w:r>
      <w:r w:rsidRPr="00C26B25">
        <w:rPr>
          <w:rFonts w:ascii="Arial" w:eastAsia="Times New Roman" w:hAnsi="Arial" w:cs="Arial"/>
          <w:bCs/>
          <w:sz w:val="24"/>
          <w:szCs w:val="24"/>
        </w:rPr>
        <w:t>326.53%</w:t>
      </w:r>
      <w:r w:rsidRPr="00C26B25">
        <w:rPr>
          <w:rFonts w:ascii="Arial" w:eastAsia="Times New Roman" w:hAnsi="Arial" w:cs="Arial"/>
          <w:sz w:val="24"/>
          <w:szCs w:val="24"/>
        </w:rPr>
        <w:t>, while also experiencing substantial short-term fluctuations.</w:t>
      </w:r>
    </w:p>
    <w:p w:rsidR="00AA089E" w:rsidRPr="00C26B25" w:rsidRDefault="00C26B25" w:rsidP="00C26B25">
      <w:pPr>
        <w:spacing w:before="100" w:beforeAutospacing="1" w:after="100" w:afterAutospacing="1" w:line="240" w:lineRule="auto"/>
        <w:rPr>
          <w:rFonts w:ascii="Arial" w:eastAsia="Times New Roman" w:hAnsi="Arial" w:cs="Arial"/>
          <w:sz w:val="24"/>
          <w:szCs w:val="24"/>
        </w:rPr>
      </w:pPr>
      <w:r w:rsidRPr="00C26B25">
        <w:rPr>
          <w:rFonts w:ascii="Arial" w:eastAsia="Times New Roman" w:hAnsi="Arial" w:cs="Arial"/>
          <w:sz w:val="24"/>
          <w:szCs w:val="24"/>
        </w:rPr>
        <w:t>The combination of price trends, moving averages, monthly returns, trading volume, and volatility provided a broader view of AAPL's historical market behavior. These techniques demonstrate the practical application of data transformation, feature engineering, and time-series analysis in financial data analytics.</w:t>
      </w:r>
    </w:p>
    <w:sectPr w:rsidR="00AA089E" w:rsidRPr="00C26B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443560"/>
    <w:multiLevelType w:val="multilevel"/>
    <w:tmpl w:val="A5FA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43142"/>
    <w:multiLevelType w:val="multilevel"/>
    <w:tmpl w:val="E31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CC1EB8"/>
    <w:multiLevelType w:val="multilevel"/>
    <w:tmpl w:val="539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B25"/>
    <w:rsid w:val="00AA089E"/>
    <w:rsid w:val="00C2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0A8E4-6FE2-47EB-9A72-2C3031D0D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6B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6B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6B2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26B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6B25"/>
    <w:rPr>
      <w:b/>
      <w:bCs/>
    </w:rPr>
  </w:style>
  <w:style w:type="character" w:styleId="HTMLCode">
    <w:name w:val="HTML Code"/>
    <w:basedOn w:val="DefaultParagraphFont"/>
    <w:uiPriority w:val="99"/>
    <w:semiHidden/>
    <w:unhideWhenUsed/>
    <w:rsid w:val="00C26B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25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WADMUS</dc:creator>
  <cp:keywords/>
  <dc:description/>
  <cp:lastModifiedBy>WADMUS</cp:lastModifiedBy>
  <cp:revision>1</cp:revision>
  <dcterms:created xsi:type="dcterms:W3CDTF">2026-08-12T14:25:00Z</dcterms:created>
  <dcterms:modified xsi:type="dcterms:W3CDTF">2026-08-12T14:29:00Z</dcterms:modified>
</cp:coreProperties>
</file>