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0"/>
          <w:szCs w:val="30"/>
        </w:rPr>
        <w:t xml:space="preserve">SOFTWARE REQUIREMENTS SPECIFICATION (SRS)</w:t>
      </w:r>
    </w:p>
    <w:p>
      <w:pPr>
        <w:spacing w:after="220"/>
        <w:jc w:val="center"/>
      </w:pPr>
      <w:r>
        <w:rPr>
          <w:b/>
          <w:bCs/>
          <w:color w:val="7A3B1E"/>
          <w:sz w:val="26"/>
          <w:szCs w:val="26"/>
        </w:rPr>
        <w:t xml:space="preserve">IRO — Issues Reporting Outlet</w:t>
      </w:r>
    </w:p>
    <w:tbl>
      <w:tblPr>
        <w:tblW w:type="dxa" w:w="9350"/>
        <w:tblBorders>
          <w:top w:val="single" w:color="999999" w:sz="4"/>
          <w:left w:val="single" w:color="999999" w:sz="4"/>
          <w:bottom w:val="single" w:color="999999" w:sz="4"/>
          <w:right w:val="single" w:color="999999" w:sz="4"/>
          <w:insideH w:val="single" w:color="999999" w:sz="4"/>
          <w:insideV w:val="single" w:color="999999" w:sz="4"/>
        </w:tblBorders>
      </w:tblPr>
      <w:tblGrid>
        <w:gridCol w:w="3000"/>
        <w:gridCol w:w="6350"/>
      </w:tblGrid>
      <w:tr>
        <w:tc>
          <w:tcPr>
            <w:tcW w:type="dxa" w:w="3000"/>
            <w:shd w:fill="D9CBB4" w:val="clear"/>
          </w:tcPr>
          <w:p>
            <w:r>
              <w:rPr>
                <w:b/>
                <w:bCs/>
                <w:sz w:val="20"/>
                <w:szCs w:val="20"/>
              </w:rPr>
              <w:t xml:space="preserve">Field</w:t>
            </w:r>
          </w:p>
        </w:tc>
        <w:tc>
          <w:tcPr>
            <w:tcW w:type="dxa" w:w="6350"/>
            <w:shd w:fill="D9CBB4" w:val="clear"/>
          </w:tcPr>
          <w:p>
            <w:r>
              <w:rPr>
                <w:b/>
                <w:bCs/>
                <w:sz w:val="20"/>
                <w:szCs w:val="20"/>
              </w:rPr>
              <w:t xml:space="preserve">Details</w:t>
            </w:r>
          </w:p>
        </w:tc>
      </w:tr>
      <w:tr>
        <w:tc>
          <w:tcPr>
            <w:tcW w:type="dxa" w:w="3000"/>
          </w:tcPr>
          <w:p>
            <w:r>
              <w:rPr>
                <w:b w:val="false"/>
                <w:bCs w:val="false"/>
                <w:sz w:val="20"/>
                <w:szCs w:val="20"/>
              </w:rPr>
              <w:t xml:space="preserve">Course Code</w:t>
            </w:r>
          </w:p>
        </w:tc>
        <w:tc>
          <w:tcPr>
            <w:tcW w:type="dxa" w:w="6350"/>
          </w:tcPr>
          <w:p>
            <w:r>
              <w:rPr>
                <w:b w:val="false"/>
                <w:bCs w:val="false"/>
                <w:sz w:val="20"/>
                <w:szCs w:val="20"/>
              </w:rPr>
              <w:t xml:space="preserve">CSC426 — Software Engineering</w:t>
            </w:r>
          </w:p>
        </w:tc>
      </w:tr>
      <w:tr>
        <w:tc>
          <w:tcPr>
            <w:tcW w:type="dxa" w:w="3000"/>
          </w:tcPr>
          <w:p>
            <w:r>
              <w:rPr>
                <w:b w:val="false"/>
                <w:bCs w:val="false"/>
                <w:sz w:val="20"/>
                <w:szCs w:val="20"/>
              </w:rPr>
              <w:t xml:space="preserve">Assignment</w:t>
            </w:r>
          </w:p>
        </w:tc>
        <w:tc>
          <w:tcPr>
            <w:tcW w:type="dxa" w:w="6350"/>
          </w:tcPr>
          <w:p>
            <w:r>
              <w:rPr>
                <w:b w:val="false"/>
                <w:bCs w:val="false"/>
                <w:sz w:val="20"/>
                <w:szCs w:val="20"/>
              </w:rPr>
              <w:t xml:space="preserve">Weekly Dev — Weekend 3 (01/07/26)</w:t>
            </w:r>
          </w:p>
        </w:tc>
      </w:tr>
      <w:tr>
        <w:tc>
          <w:tcPr>
            <w:tcW w:type="dxa" w:w="3000"/>
          </w:tcPr>
          <w:p>
            <w:r>
              <w:rPr>
                <w:b w:val="false"/>
                <w:bCs w:val="false"/>
                <w:sz w:val="20"/>
                <w:szCs w:val="20"/>
              </w:rPr>
              <w:t xml:space="preserve">Matric Number</w:t>
            </w:r>
          </w:p>
        </w:tc>
        <w:tc>
          <w:tcPr>
            <w:tcW w:type="dxa" w:w="6350"/>
          </w:tcPr>
          <w:p>
            <w:r>
              <w:rPr>
                <w:b w:val="false"/>
                <w:bCs w:val="false"/>
                <w:sz w:val="20"/>
                <w:szCs w:val="20"/>
              </w:rPr>
              <w:t xml:space="preserve">220404145</w:t>
            </w:r>
          </w:p>
        </w:tc>
      </w:tr>
      <w:tr>
        <w:tc>
          <w:tcPr>
            <w:tcW w:type="dxa" w:w="3000"/>
          </w:tcPr>
          <w:p>
            <w:r>
              <w:rPr>
                <w:b w:val="false"/>
                <w:bCs w:val="false"/>
                <w:sz w:val="20"/>
                <w:szCs w:val="20"/>
              </w:rPr>
              <w:t xml:space="preserve">Full Name</w:t>
            </w:r>
          </w:p>
        </w:tc>
        <w:tc>
          <w:tcPr>
            <w:tcW w:type="dxa" w:w="6350"/>
          </w:tcPr>
          <w:p>
            <w:r>
              <w:rPr>
                <w:b w:val="false"/>
                <w:bCs w:val="false"/>
                <w:sz w:val="20"/>
                <w:szCs w:val="20"/>
              </w:rPr>
              <w:t xml:space="preserve">Jokojeje Ayomide Elliot</w:t>
            </w:r>
          </w:p>
        </w:tc>
      </w:tr>
      <w:tr>
        <w:tc>
          <w:tcPr>
            <w:tcW w:type="dxa" w:w="3000"/>
          </w:tcPr>
          <w:p>
            <w:r>
              <w:rPr>
                <w:b w:val="false"/>
                <w:bCs w:val="false"/>
                <w:sz w:val="20"/>
                <w:szCs w:val="20"/>
              </w:rPr>
              <w:t xml:space="preserve">Lecturer</w:t>
            </w:r>
          </w:p>
        </w:tc>
        <w:tc>
          <w:tcPr>
            <w:tcW w:type="dxa" w:w="6350"/>
          </w:tcPr>
          <w:p>
            <w:r>
              <w:rPr>
                <w:b w:val="false"/>
                <w:bCs w:val="false"/>
                <w:sz w:val="20"/>
                <w:szCs w:val="20"/>
              </w:rPr>
              <w:t xml:space="preserve">Dr. O. O. AJAYI</w:t>
            </w:r>
          </w:p>
        </w:tc>
      </w:tr>
      <w:tr>
        <w:tc>
          <w:tcPr>
            <w:tcW w:type="dxa" w:w="3000"/>
          </w:tcPr>
          <w:p>
            <w:r>
              <w:rPr>
                <w:b w:val="false"/>
                <w:bCs w:val="false"/>
                <w:sz w:val="20"/>
                <w:szCs w:val="20"/>
              </w:rPr>
              <w:t xml:space="preserve">Submission Date</w:t>
            </w:r>
          </w:p>
        </w:tc>
        <w:tc>
          <w:tcPr>
            <w:tcW w:type="dxa" w:w="6350"/>
          </w:tcPr>
          <w:p>
            <w:r>
              <w:rPr>
                <w:b w:val="false"/>
                <w:bCs w:val="false"/>
                <w:sz w:val="20"/>
                <w:szCs w:val="20"/>
              </w:rPr>
              <w:t xml:space="preserve">Friday, 10th July 2026</w:t>
            </w:r>
          </w:p>
        </w:tc>
      </w:tr>
    </w:tbl>
    <w:p>
      <w:pPr>
        <w:spacing w:after="300"/>
      </w:pPr>
    </w:p>
    <w:p>
      <w:pPr>
        <w:pStyle w:val="Heading1"/>
        <w:spacing w:after="150" w:before="300"/>
      </w:pPr>
      <w:r>
        <w:t xml:space="preserve">1. Introduction</w:t>
      </w:r>
    </w:p>
    <w:p>
      <w:pPr>
        <w:pStyle w:val="Heading2"/>
        <w:spacing w:after="100" w:before="220"/>
      </w:pPr>
      <w:r>
        <w:t xml:space="preserve">1.1 Purpose</w:t>
      </w:r>
    </w:p>
    <w:p>
      <w:pPr>
        <w:spacing w:after="140"/>
        <w:jc w:val="both"/>
      </w:pPr>
      <w:r>
        <w:rPr>
          <w:sz w:val="21"/>
          <w:szCs w:val="21"/>
        </w:rPr>
        <w:t xml:space="preserve">This Software Requirements Specification (SRS) document describes the functional and non-functional requirements of the IRO (Issues Reporting Outlet) system. IRO is a web-based platform commissioned to relate and report issues concerning AAUA students and indigenes of the host communities — Akungba, Iwaro, Etioro, and Ayegunle. This document is intended for the development team, the course lecturer (Dr. O. O. Ajayi), and any reviewer assessing the design and completeness of the proposed solution.</w:t>
      </w:r>
    </w:p>
    <w:p>
      <w:pPr>
        <w:pStyle w:val="Heading2"/>
        <w:spacing w:after="100" w:before="220"/>
      </w:pPr>
      <w:r>
        <w:t xml:space="preserve">1.2 Scope</w:t>
      </w:r>
    </w:p>
    <w:p>
      <w:pPr>
        <w:spacing w:after="140"/>
        <w:jc w:val="both"/>
      </w:pPr>
      <w:r>
        <w:rPr>
          <w:sz w:val="21"/>
          <w:szCs w:val="21"/>
        </w:rPr>
        <w:t xml:space="preserve">IRO allows students and indigenes to submit reports on community issues (e.g. land disputes, security concerns, noise complaints, infrastructure problems) through a shared web interface. Reports are reviewed and categorized by an administrator/moderator, escalated to the relevant authority where necessary, and tracked through to resolution. The system is deliberately scoped as a mini web interface — given submission-time constraints — and prioritizes clarity of the reporting and tracking workflow over advanced backend infrastructure.</w:t>
      </w:r>
    </w:p>
    <w:p>
      <w:pPr>
        <w:pStyle w:val="Heading2"/>
        <w:spacing w:after="100" w:before="220"/>
      </w:pPr>
      <w:r>
        <w:t xml:space="preserve">1.3 Intended Audience</w:t>
      </w:r>
    </w:p>
    <w:p>
      <w:pPr>
        <w:pStyle w:val="ListParagraph"/>
        <w:numPr>
          <w:ilvl w:val="0"/>
          <w:numId w:val="1"/>
        </w:numPr>
        <w:spacing w:after="60"/>
      </w:pPr>
      <w:r>
        <w:t xml:space="preserve">AAUA students who wish to report issues involving host communities</w:t>
      </w:r>
    </w:p>
    <w:p>
      <w:pPr>
        <w:pStyle w:val="ListParagraph"/>
        <w:numPr>
          <w:ilvl w:val="0"/>
          <w:numId w:val="1"/>
        </w:numPr>
        <w:spacing w:after="60"/>
      </w:pPr>
      <w:r>
        <w:t xml:space="preserve">Indigenes of Akungba, Iwaro, Etioro, and Ayegunle who wish to report issues involving students</w:t>
      </w:r>
    </w:p>
    <w:p>
      <w:pPr>
        <w:pStyle w:val="ListParagraph"/>
        <w:numPr>
          <w:ilvl w:val="0"/>
          <w:numId w:val="1"/>
        </w:numPr>
        <w:spacing w:after="60"/>
      </w:pPr>
      <w:r>
        <w:t xml:space="preserve">Administrators/moderators responsible for reviewing and escalating reports</w:t>
      </w:r>
    </w:p>
    <w:p>
      <w:pPr>
        <w:pStyle w:val="ListParagraph"/>
        <w:numPr>
          <w:ilvl w:val="0"/>
          <w:numId w:val="1"/>
        </w:numPr>
        <w:spacing w:after="60"/>
      </w:pPr>
      <w:r>
        <w:t xml:space="preserve">Course lecturer and evaluators assessing the CSC426 Weekend 3 deliverable</w:t>
      </w:r>
    </w:p>
    <w:p>
      <w:pPr>
        <w:pStyle w:val="Heading2"/>
        <w:spacing w:after="100" w:before="220"/>
      </w:pPr>
      <w:r>
        <w:t xml:space="preserve">1.4 Definitions and Abbreviations</w:t>
      </w:r>
    </w:p>
    <w:tbl>
      <w:tblPr>
        <w:tblW w:type="dxa" w:w="9350"/>
        <w:tblBorders>
          <w:top w:val="single" w:color="999999" w:sz="4"/>
          <w:left w:val="single" w:color="999999" w:sz="4"/>
          <w:bottom w:val="single" w:color="999999" w:sz="4"/>
          <w:right w:val="single" w:color="999999" w:sz="4"/>
          <w:insideH w:val="single" w:color="999999" w:sz="4"/>
          <w:insideV w:val="single" w:color="999999" w:sz="4"/>
        </w:tblBorders>
      </w:tblPr>
      <w:tblGrid>
        <w:gridCol w:w="2500"/>
        <w:gridCol w:w="6850"/>
      </w:tblGrid>
      <w:tr>
        <w:tc>
          <w:tcPr>
            <w:tcW w:type="dxa" w:w="2500"/>
            <w:shd w:fill="D9CBB4" w:val="clear"/>
          </w:tcPr>
          <w:p>
            <w:r>
              <w:rPr>
                <w:b/>
                <w:bCs/>
                <w:sz w:val="20"/>
                <w:szCs w:val="20"/>
              </w:rPr>
              <w:t xml:space="preserve">Term</w:t>
            </w:r>
          </w:p>
        </w:tc>
        <w:tc>
          <w:tcPr>
            <w:tcW w:type="dxa" w:w="6850"/>
            <w:shd w:fill="D9CBB4" w:val="clear"/>
          </w:tcPr>
          <w:p>
            <w:r>
              <w:rPr>
                <w:b/>
                <w:bCs/>
                <w:sz w:val="20"/>
                <w:szCs w:val="20"/>
              </w:rPr>
              <w:t xml:space="preserve">Meaning</w:t>
            </w:r>
          </w:p>
        </w:tc>
      </w:tr>
      <w:tr>
        <w:tc>
          <w:tcPr>
            <w:tcW w:type="dxa" w:w="2500"/>
          </w:tcPr>
          <w:p>
            <w:r>
              <w:rPr>
                <w:b w:val="false"/>
                <w:bCs w:val="false"/>
                <w:sz w:val="20"/>
                <w:szCs w:val="20"/>
              </w:rPr>
              <w:t xml:space="preserve">IRO</w:t>
            </w:r>
          </w:p>
        </w:tc>
        <w:tc>
          <w:tcPr>
            <w:tcW w:type="dxa" w:w="6850"/>
          </w:tcPr>
          <w:p>
            <w:r>
              <w:rPr>
                <w:b w:val="false"/>
                <w:bCs w:val="false"/>
                <w:sz w:val="20"/>
                <w:szCs w:val="20"/>
              </w:rPr>
              <w:t xml:space="preserve">Issues Reporting Outlet — the system being specified</w:t>
            </w:r>
          </w:p>
        </w:tc>
      </w:tr>
      <w:tr>
        <w:tc>
          <w:tcPr>
            <w:tcW w:type="dxa" w:w="2500"/>
          </w:tcPr>
          <w:p>
            <w:r>
              <w:rPr>
                <w:b w:val="false"/>
                <w:bCs w:val="false"/>
                <w:sz w:val="20"/>
                <w:szCs w:val="20"/>
              </w:rPr>
              <w:t xml:space="preserve">Indigene</w:t>
            </w:r>
          </w:p>
        </w:tc>
        <w:tc>
          <w:tcPr>
            <w:tcW w:type="dxa" w:w="6850"/>
          </w:tcPr>
          <w:p>
            <w:r>
              <w:rPr>
                <w:b w:val="false"/>
                <w:bCs w:val="false"/>
                <w:sz w:val="20"/>
                <w:szCs w:val="20"/>
              </w:rPr>
              <w:t xml:space="preserve">A native/resident of the host communities (Akungba, Iwaro, Etioro, Ayegunle)</w:t>
            </w:r>
          </w:p>
        </w:tc>
      </w:tr>
      <w:tr>
        <w:tc>
          <w:tcPr>
            <w:tcW w:type="dxa" w:w="2500"/>
          </w:tcPr>
          <w:p>
            <w:r>
              <w:rPr>
                <w:b w:val="false"/>
                <w:bCs w:val="false"/>
                <w:sz w:val="20"/>
                <w:szCs w:val="20"/>
              </w:rPr>
              <w:t xml:space="preserve">SRS</w:t>
            </w:r>
          </w:p>
        </w:tc>
        <w:tc>
          <w:tcPr>
            <w:tcW w:type="dxa" w:w="6850"/>
          </w:tcPr>
          <w:p>
            <w:r>
              <w:rPr>
                <w:b w:val="false"/>
                <w:bCs w:val="false"/>
                <w:sz w:val="20"/>
                <w:szCs w:val="20"/>
              </w:rPr>
              <w:t xml:space="preserve">Software Requirements Specification</w:t>
            </w:r>
          </w:p>
        </w:tc>
      </w:tr>
      <w:tr>
        <w:tc>
          <w:tcPr>
            <w:tcW w:type="dxa" w:w="2500"/>
          </w:tcPr>
          <w:p>
            <w:r>
              <w:rPr>
                <w:b w:val="false"/>
                <w:bCs w:val="false"/>
                <w:sz w:val="20"/>
                <w:szCs w:val="20"/>
              </w:rPr>
              <w:t xml:space="preserve">Admin/Moderator</w:t>
            </w:r>
          </w:p>
        </w:tc>
        <w:tc>
          <w:tcPr>
            <w:tcW w:type="dxa" w:w="6850"/>
          </w:tcPr>
          <w:p>
            <w:r>
              <w:rPr>
                <w:b w:val="false"/>
                <w:bCs w:val="false"/>
                <w:sz w:val="20"/>
                <w:szCs w:val="20"/>
              </w:rPr>
              <w:t xml:space="preserve">System actor responsible for reviewing, categorizing, and escalating reports</w:t>
            </w:r>
          </w:p>
        </w:tc>
      </w:tr>
      <w:tr>
        <w:tc>
          <w:tcPr>
            <w:tcW w:type="dxa" w:w="2500"/>
          </w:tcPr>
          <w:p>
            <w:r>
              <w:rPr>
                <w:b w:val="false"/>
                <w:bCs w:val="false"/>
                <w:sz w:val="20"/>
                <w:szCs w:val="20"/>
              </w:rPr>
              <w:t xml:space="preserve">Report / Issue</w:t>
            </w:r>
          </w:p>
        </w:tc>
        <w:tc>
          <w:tcPr>
            <w:tcW w:type="dxa" w:w="6850"/>
          </w:tcPr>
          <w:p>
            <w:r>
              <w:rPr>
                <w:b w:val="false"/>
                <w:bCs w:val="false"/>
                <w:sz w:val="20"/>
                <w:szCs w:val="20"/>
              </w:rPr>
              <w:t xml:space="preserve">A single submission describing a community concern</w:t>
            </w:r>
          </w:p>
        </w:tc>
      </w:tr>
    </w:tbl>
    <w:p>
      <w:pPr>
        <w:spacing w:after="200"/>
      </w:pPr>
    </w:p>
    <w:p>
      <w:pPr>
        <w:pStyle w:val="Heading1"/>
        <w:spacing w:after="150" w:before="300"/>
      </w:pPr>
      <w:r>
        <w:t xml:space="preserve">2. Overall Description</w:t>
      </w:r>
    </w:p>
    <w:p>
      <w:pPr>
        <w:pStyle w:val="Heading2"/>
        <w:spacing w:after="100" w:before="220"/>
      </w:pPr>
      <w:r>
        <w:t xml:space="preserve">2.1 Product Perspective</w:t>
      </w:r>
    </w:p>
    <w:p>
      <w:pPr>
        <w:spacing w:after="140"/>
        <w:jc w:val="both"/>
      </w:pPr>
      <w:r>
        <w:rPr>
          <w:sz w:val="21"/>
          <w:szCs w:val="21"/>
        </w:rPr>
        <w:t xml:space="preserve">IRO is a standalone, self-contained mini web application. It is not integrated with any existing university or community information system at this stage. It consists of a front-end interface (About, Report Issue, Issue Feed) through which the four system actors interact, as detailed in the accompanying Use-Case Diagram.</w:t>
      </w:r>
    </w:p>
    <w:p>
      <w:pPr>
        <w:pStyle w:val="Heading2"/>
        <w:spacing w:after="100" w:before="220"/>
      </w:pPr>
      <w:r>
        <w:t xml:space="preserve">2.2 Product Functions (Summary)</w:t>
      </w:r>
    </w:p>
    <w:p>
      <w:pPr>
        <w:pStyle w:val="ListParagraph"/>
        <w:numPr>
          <w:ilvl w:val="0"/>
          <w:numId w:val="1"/>
        </w:numPr>
        <w:spacing w:after="60"/>
      </w:pPr>
      <w:r>
        <w:t xml:space="preserve">Submission of issue reports by students and indigenes</w:t>
      </w:r>
    </w:p>
    <w:p>
      <w:pPr>
        <w:pStyle w:val="ListParagraph"/>
        <w:numPr>
          <w:ilvl w:val="0"/>
          <w:numId w:val="1"/>
        </w:numPr>
        <w:spacing w:after="60"/>
      </w:pPr>
      <w:r>
        <w:t xml:space="preserve">Categorization of reports by type (land dispute, security, noise, infrastructure, etc.)</w:t>
      </w:r>
    </w:p>
    <w:p>
      <w:pPr>
        <w:pStyle w:val="ListParagraph"/>
        <w:numPr>
          <w:ilvl w:val="0"/>
          <w:numId w:val="1"/>
        </w:numPr>
        <w:spacing w:after="60"/>
      </w:pPr>
      <w:r>
        <w:t xml:space="preserve">Public viewing of a live issue feed showing report status</w:t>
      </w:r>
    </w:p>
    <w:p>
      <w:pPr>
        <w:pStyle w:val="ListParagraph"/>
        <w:numPr>
          <w:ilvl w:val="0"/>
          <w:numId w:val="1"/>
        </w:numPr>
        <w:spacing w:after="60"/>
      </w:pPr>
      <w:r>
        <w:t xml:space="preserve">Administrative review, categorization, and escalation of reports</w:t>
      </w:r>
    </w:p>
    <w:p>
      <w:pPr>
        <w:pStyle w:val="ListParagraph"/>
        <w:numPr>
          <w:ilvl w:val="0"/>
          <w:numId w:val="1"/>
        </w:numPr>
        <w:spacing w:after="60"/>
      </w:pPr>
      <w:r>
        <w:t xml:space="preserve">Status tracking of each report (Pending, Reviewing, Resolved)</w:t>
      </w:r>
    </w:p>
    <w:p>
      <w:pPr>
        <w:pStyle w:val="ListParagraph"/>
        <w:numPr>
          <w:ilvl w:val="0"/>
          <w:numId w:val="1"/>
        </w:numPr>
        <w:spacing w:after="60"/>
      </w:pPr>
      <w:r>
        <w:t xml:space="preserve">Notification of relevant parties on status change</w:t>
      </w:r>
    </w:p>
    <w:p>
      <w:pPr>
        <w:pStyle w:val="Heading2"/>
        <w:spacing w:after="100" w:before="220"/>
      </w:pPr>
      <w:r>
        <w:t xml:space="preserve">2.3 User Classes and Characteristics</w:t>
      </w:r>
    </w:p>
    <w:tbl>
      <w:tblPr>
        <w:tblW w:type="dxa" w:w="935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7150"/>
      </w:tblGrid>
      <w:tr>
        <w:tc>
          <w:tcPr>
            <w:tcW w:type="dxa" w:w="2200"/>
            <w:shd w:fill="D9CBB4" w:val="clear"/>
          </w:tcPr>
          <w:p>
            <w:r>
              <w:rPr>
                <w:b/>
                <w:bCs/>
                <w:sz w:val="20"/>
                <w:szCs w:val="20"/>
              </w:rPr>
              <w:t xml:space="preserve">Actor</w:t>
            </w:r>
          </w:p>
        </w:tc>
        <w:tc>
          <w:tcPr>
            <w:tcW w:type="dxa" w:w="7150"/>
            <w:shd w:fill="D9CBB4" w:val="clear"/>
          </w:tcPr>
          <w:p>
            <w:r>
              <w:rPr>
                <w:b/>
                <w:bCs/>
                <w:sz w:val="20"/>
                <w:szCs w:val="20"/>
              </w:rPr>
              <w:t xml:space="preserve">Characteristics</w:t>
            </w:r>
          </w:p>
        </w:tc>
      </w:tr>
      <w:tr>
        <w:tc>
          <w:tcPr>
            <w:tcW w:type="dxa" w:w="2200"/>
          </w:tcPr>
          <w:p>
            <w:r>
              <w:rPr>
                <w:b w:val="false"/>
                <w:bCs w:val="false"/>
                <w:sz w:val="20"/>
                <w:szCs w:val="20"/>
              </w:rPr>
              <w:t xml:space="preserve">Student</w:t>
            </w:r>
          </w:p>
        </w:tc>
        <w:tc>
          <w:tcPr>
            <w:tcW w:type="dxa" w:w="7150"/>
          </w:tcPr>
          <w:p>
            <w:r>
              <w:rPr>
                <w:b w:val="false"/>
                <w:bCs w:val="false"/>
                <w:sz w:val="20"/>
                <w:szCs w:val="20"/>
              </w:rPr>
              <w:t xml:space="preserve">AAUA student; primary reporter of issues affecting the student community; assumed comfortable with basic web/mobile interfaces</w:t>
            </w:r>
          </w:p>
        </w:tc>
      </w:tr>
      <w:tr>
        <w:tc>
          <w:tcPr>
            <w:tcW w:type="dxa" w:w="2200"/>
          </w:tcPr>
          <w:p>
            <w:r>
              <w:rPr>
                <w:b w:val="false"/>
                <w:bCs w:val="false"/>
                <w:sz w:val="20"/>
                <w:szCs w:val="20"/>
              </w:rPr>
              <w:t xml:space="preserve">Indigene</w:t>
            </w:r>
          </w:p>
        </w:tc>
        <w:tc>
          <w:tcPr>
            <w:tcW w:type="dxa" w:w="7150"/>
          </w:tcPr>
          <w:p>
            <w:r>
              <w:rPr>
                <w:b w:val="false"/>
                <w:bCs w:val="false"/>
                <w:sz w:val="20"/>
                <w:szCs w:val="20"/>
              </w:rPr>
              <w:t xml:space="preserve">Resident of host communities; may have lower digital literacy; interface must remain simple and language-plain</w:t>
            </w:r>
          </w:p>
        </w:tc>
      </w:tr>
      <w:tr>
        <w:tc>
          <w:tcPr>
            <w:tcW w:type="dxa" w:w="2200"/>
          </w:tcPr>
          <w:p>
            <w:r>
              <w:rPr>
                <w:b w:val="false"/>
                <w:bCs w:val="false"/>
                <w:sz w:val="20"/>
                <w:szCs w:val="20"/>
              </w:rPr>
              <w:t xml:space="preserve">Admin/Moderator</w:t>
            </w:r>
          </w:p>
        </w:tc>
        <w:tc>
          <w:tcPr>
            <w:tcW w:type="dxa" w:w="7150"/>
          </w:tcPr>
          <w:p>
            <w:r>
              <w:rPr>
                <w:b w:val="false"/>
                <w:bCs w:val="false"/>
                <w:sz w:val="20"/>
                <w:szCs w:val="20"/>
              </w:rPr>
              <w:t xml:space="preserve">Reviews incoming reports, assigns categories, escalates to appropriate authority, updates status</w:t>
            </w:r>
          </w:p>
        </w:tc>
      </w:tr>
      <w:tr>
        <w:tc>
          <w:tcPr>
            <w:tcW w:type="dxa" w:w="2200"/>
          </w:tcPr>
          <w:p>
            <w:r>
              <w:rPr>
                <w:b w:val="false"/>
                <w:bCs w:val="false"/>
                <w:sz w:val="20"/>
                <w:szCs w:val="20"/>
              </w:rPr>
              <w:t xml:space="preserve">System (Notifier)</w:t>
            </w:r>
          </w:p>
        </w:tc>
        <w:tc>
          <w:tcPr>
            <w:tcW w:type="dxa" w:w="7150"/>
          </w:tcPr>
          <w:p>
            <w:r>
              <w:rPr>
                <w:b w:val="false"/>
                <w:bCs w:val="false"/>
                <w:sz w:val="20"/>
                <w:szCs w:val="20"/>
              </w:rPr>
              <w:t xml:space="preserve">Automated component that sends status-change notifications</w:t>
            </w:r>
          </w:p>
        </w:tc>
      </w:tr>
    </w:tbl>
    <w:p>
      <w:pPr>
        <w:spacing w:after="200"/>
      </w:pPr>
    </w:p>
    <w:p>
      <w:pPr>
        <w:pStyle w:val="Heading2"/>
        <w:spacing w:after="100" w:before="220"/>
      </w:pPr>
      <w:r>
        <w:t xml:space="preserve">2.4 Operating Environment</w:t>
      </w:r>
    </w:p>
    <w:p>
      <w:pPr>
        <w:pStyle w:val="ListParagraph"/>
        <w:numPr>
          <w:ilvl w:val="0"/>
          <w:numId w:val="1"/>
        </w:numPr>
        <w:spacing w:after="60"/>
      </w:pPr>
      <w:r>
        <w:t xml:space="preserve">Client-side: any modern mobile or desktop web browser (Chrome, Safari, Edge, Firefox)</w:t>
      </w:r>
    </w:p>
    <w:p>
      <w:pPr>
        <w:pStyle w:val="ListParagraph"/>
        <w:numPr>
          <w:ilvl w:val="0"/>
          <w:numId w:val="1"/>
        </w:numPr>
        <w:spacing w:after="60"/>
      </w:pPr>
      <w:r>
        <w:t xml:space="preserve">No native app installation required — accessed via a standard web URL</w:t>
      </w:r>
    </w:p>
    <w:p>
      <w:pPr>
        <w:pStyle w:val="ListParagraph"/>
        <w:numPr>
          <w:ilvl w:val="0"/>
          <w:numId w:val="1"/>
        </w:numPr>
        <w:spacing w:after="60"/>
      </w:pPr>
      <w:r>
        <w:t xml:space="preserve">Designed mobile-first, given expected low desktop access among indigene users</w:t>
      </w:r>
    </w:p>
    <w:p>
      <w:pPr>
        <w:pStyle w:val="Heading2"/>
        <w:spacing w:after="100" w:before="220"/>
      </w:pPr>
      <w:r>
        <w:t xml:space="preserve">2.5 Design and Implementation Constraints</w:t>
      </w:r>
    </w:p>
    <w:p>
      <w:pPr>
        <w:pStyle w:val="ListParagraph"/>
        <w:numPr>
          <w:ilvl w:val="0"/>
          <w:numId w:val="1"/>
        </w:numPr>
        <w:spacing w:after="60"/>
      </w:pPr>
      <w:r>
        <w:t xml:space="preserve">Submission timeline required a lightweight, low-complexity solution (no full backend/database in this iteration)</w:t>
      </w:r>
    </w:p>
    <w:p>
      <w:pPr>
        <w:pStyle w:val="ListParagraph"/>
        <w:numPr>
          <w:ilvl w:val="0"/>
          <w:numId w:val="1"/>
        </w:numPr>
        <w:spacing w:after="60"/>
      </w:pPr>
      <w:r>
        <w:t xml:space="preserve">Must remain usable on low-bandwidth mobile connections common in Akungba, Iwaro, Etioro, and Ayegunle</w:t>
      </w:r>
    </w:p>
    <w:p>
      <w:pPr>
        <w:pStyle w:val="ListParagraph"/>
        <w:numPr>
          <w:ilvl w:val="0"/>
          <w:numId w:val="1"/>
        </w:numPr>
        <w:spacing w:after="60"/>
      </w:pPr>
      <w:r>
        <w:t xml:space="preserve">Must be understandable to users with varying levels of digital literacy</w:t>
      </w:r>
    </w:p>
    <w:p>
      <w:pPr>
        <w:pStyle w:val="Heading2"/>
        <w:spacing w:after="100" w:before="220"/>
      </w:pPr>
      <w:r>
        <w:t xml:space="preserve">2.6 Assumptions and Dependencies</w:t>
      </w:r>
    </w:p>
    <w:p>
      <w:pPr>
        <w:pStyle w:val="ListParagraph"/>
        <w:numPr>
          <w:ilvl w:val="0"/>
          <w:numId w:val="1"/>
        </w:numPr>
        <w:spacing w:after="60"/>
      </w:pPr>
      <w:r>
        <w:t xml:space="preserve">Users have access to an internet-enabled device</w:t>
      </w:r>
    </w:p>
    <w:p>
      <w:pPr>
        <w:pStyle w:val="ListParagraph"/>
        <w:numPr>
          <w:ilvl w:val="0"/>
          <w:numId w:val="1"/>
        </w:numPr>
        <w:spacing w:after="60"/>
      </w:pPr>
      <w:r>
        <w:t xml:space="preserve">Reports submitted are made in good faith; abuse-handling is a future enhancement</w:t>
      </w:r>
    </w:p>
    <w:p>
      <w:pPr>
        <w:pStyle w:val="ListParagraph"/>
        <w:numPr>
          <w:ilvl w:val="0"/>
          <w:numId w:val="1"/>
        </w:numPr>
        <w:spacing w:after="60"/>
      </w:pPr>
      <w:r>
        <w:t xml:space="preserve">A future iteration will introduce persistent storage and authentication</w:t>
      </w:r>
    </w:p>
    <w:p>
      <w:pPr>
        <w:pStyle w:val="Heading1"/>
        <w:spacing w:after="150" w:before="300"/>
      </w:pPr>
      <w:r>
        <w:t xml:space="preserve">3. System Features and Component Interaction</w:t>
      </w:r>
    </w:p>
    <w:p>
      <w:pPr>
        <w:spacing w:after="140"/>
        <w:jc w:val="both"/>
      </w:pPr>
      <w:r>
        <w:rPr>
          <w:sz w:val="21"/>
          <w:szCs w:val="21"/>
        </w:rPr>
        <w:t xml:space="preserve">IRO is composed of three major interacting components: the Reporting Interface, the Review &amp; Escalation Module, and the Notification Component. Their interaction is summarized below and corresponds to the accompanying Use-Case Diagram.</w:t>
      </w:r>
    </w:p>
    <w:p>
      <w:pPr>
        <w:pStyle w:val="Heading2"/>
        <w:spacing w:after="100" w:before="220"/>
      </w:pPr>
      <w:r>
        <w:t xml:space="preserve">3.1 Reporting Interface</w:t>
      </w:r>
    </w:p>
    <w:p>
      <w:pPr>
        <w:spacing w:after="140"/>
        <w:jc w:val="both"/>
      </w:pPr>
      <w:r>
        <w:rPr>
          <w:sz w:val="21"/>
          <w:szCs w:val="21"/>
        </w:rPr>
        <w:t xml:space="preserve">Used directly by Students and Indigenes. Captures reporter type, issue category, location, and description, then submits the report into the system's issue store. Immediately reflects the new report in the public Issue Feed with a 'Pending' status.</w:t>
      </w:r>
    </w:p>
    <w:p>
      <w:pPr>
        <w:pStyle w:val="Heading2"/>
        <w:spacing w:after="100" w:before="220"/>
      </w:pPr>
      <w:r>
        <w:t xml:space="preserve">3.2 Review &amp; Escalation Module</w:t>
      </w:r>
    </w:p>
    <w:p>
      <w:pPr>
        <w:spacing w:after="140"/>
        <w:jc w:val="both"/>
      </w:pPr>
      <w:r>
        <w:rPr>
          <w:sz w:val="21"/>
          <w:szCs w:val="21"/>
        </w:rPr>
        <w:t xml:space="preserve">Used by the Admin/Moderator. Retrieves pending reports from the issue store, allows categorization/re-categorization, and escalates issues to the appropriate authority where required (an &lt;&lt;extend&gt;&gt; relationship on 'Register/Login', as shown in the Use-Case Diagram). Updating a report's status is a use case that includes 'Review &amp; Categorize Report' as a precondition, per the &lt;&lt;include&gt;&gt; relationship modeled.</w:t>
      </w:r>
    </w:p>
    <w:p>
      <w:pPr>
        <w:pStyle w:val="Heading2"/>
        <w:spacing w:after="100" w:before="220"/>
      </w:pPr>
      <w:r>
        <w:t xml:space="preserve">3.3 Notification Component</w:t>
      </w:r>
    </w:p>
    <w:p>
      <w:pPr>
        <w:spacing w:after="140"/>
        <w:jc w:val="both"/>
      </w:pPr>
      <w:r>
        <w:rPr>
          <w:sz w:val="21"/>
          <w:szCs w:val="21"/>
        </w:rPr>
        <w:t xml:space="preserve">Triggered automatically whenever 'Update Report Status' occurs (&lt;&lt;include&gt;&gt; relationship). Sends a status-change notification via the System (Email/SMS Notifier) actor to keep the original reporter informed without requiring them to actively check the feed.</w:t>
      </w:r>
    </w:p>
    <w:p>
      <w:pPr>
        <w:pStyle w:val="Heading2"/>
        <w:spacing w:after="100" w:before="220"/>
      </w:pPr>
      <w:r>
        <w:t xml:space="preserve">3.4 Component Interaction Flow</w:t>
      </w:r>
    </w:p>
    <w:p>
      <w:pPr>
        <w:pStyle w:val="ListParagraph"/>
        <w:numPr>
          <w:ilvl w:val="0"/>
          <w:numId w:val="1"/>
        </w:numPr>
        <w:spacing w:after="60"/>
      </w:pPr>
      <w:r>
        <w:t xml:space="preserve">1. Student or Indigene submits a report via the Reporting Interface</w:t>
      </w:r>
    </w:p>
    <w:p>
      <w:pPr>
        <w:pStyle w:val="ListParagraph"/>
        <w:numPr>
          <w:ilvl w:val="0"/>
          <w:numId w:val="1"/>
        </w:numPr>
        <w:spacing w:after="60"/>
      </w:pPr>
      <w:r>
        <w:t xml:space="preserve">2. Report enters the issue store with status = Pending, visible on the Issue Feed</w:t>
      </w:r>
    </w:p>
    <w:p>
      <w:pPr>
        <w:pStyle w:val="ListParagraph"/>
        <w:numPr>
          <w:ilvl w:val="0"/>
          <w:numId w:val="1"/>
        </w:numPr>
        <w:spacing w:after="60"/>
      </w:pPr>
      <w:r>
        <w:t xml:space="preserve">3. Admin/Moderator reviews and categorizes the report</w:t>
      </w:r>
    </w:p>
    <w:p>
      <w:pPr>
        <w:pStyle w:val="ListParagraph"/>
        <w:numPr>
          <w:ilvl w:val="0"/>
          <w:numId w:val="1"/>
        </w:numPr>
        <w:spacing w:after="60"/>
      </w:pPr>
      <w:r>
        <w:t xml:space="preserve">4. Where necessary, Admin/Moderator escalates the issue to the relevant authority</w:t>
      </w:r>
    </w:p>
    <w:p>
      <w:pPr>
        <w:pStyle w:val="ListParagraph"/>
        <w:numPr>
          <w:ilvl w:val="0"/>
          <w:numId w:val="1"/>
        </w:numPr>
        <w:spacing w:after="60"/>
      </w:pPr>
      <w:r>
        <w:t xml:space="preserve">5. Admin/Moderator updates the report status (Pending → Reviewing → Resolved)</w:t>
      </w:r>
    </w:p>
    <w:p>
      <w:pPr>
        <w:pStyle w:val="ListParagraph"/>
        <w:numPr>
          <w:ilvl w:val="0"/>
          <w:numId w:val="1"/>
        </w:numPr>
        <w:spacing w:after="60"/>
      </w:pPr>
      <w:r>
        <w:t xml:space="preserve">6. Notification Component sends a status update to the reporter</w:t>
      </w:r>
    </w:p>
    <w:p>
      <w:pPr>
        <w:pStyle w:val="ListParagraph"/>
        <w:numPr>
          <w:ilvl w:val="0"/>
          <w:numId w:val="1"/>
        </w:numPr>
        <w:spacing w:after="60"/>
      </w:pPr>
      <w:r>
        <w:t xml:space="preserve">7. Updated status is reflected on the public Issue Feed for all users</w:t>
      </w:r>
    </w:p>
    <w:p>
      <w:pPr>
        <w:pStyle w:val="Heading1"/>
        <w:spacing w:after="150" w:before="300"/>
      </w:pPr>
      <w:r>
        <w:t xml:space="preserve">4. Functional Requirements</w:t>
      </w:r>
    </w:p>
    <w:tbl>
      <w:tblPr>
        <w:tblW w:type="dxa" w:w="9350"/>
        <w:tblBorders>
          <w:top w:val="single" w:color="999999" w:sz="4"/>
          <w:left w:val="single" w:color="999999" w:sz="4"/>
          <w:bottom w:val="single" w:color="999999" w:sz="4"/>
          <w:right w:val="single" w:color="999999" w:sz="4"/>
          <w:insideH w:val="single" w:color="999999" w:sz="4"/>
          <w:insideV w:val="single" w:color="999999" w:sz="4"/>
        </w:tblBorders>
      </w:tblPr>
      <w:tblGrid>
        <w:gridCol w:w="1200"/>
        <w:gridCol w:w="6700"/>
        <w:gridCol w:w="1450"/>
      </w:tblGrid>
      <w:tr>
        <w:tc>
          <w:tcPr>
            <w:tcW w:type="dxa" w:w="1200"/>
            <w:shd w:fill="D9CBB4" w:val="clear"/>
          </w:tcPr>
          <w:p>
            <w:r>
              <w:rPr>
                <w:b/>
                <w:bCs/>
                <w:sz w:val="20"/>
                <w:szCs w:val="20"/>
              </w:rPr>
              <w:t xml:space="preserve">ID</w:t>
            </w:r>
          </w:p>
        </w:tc>
        <w:tc>
          <w:tcPr>
            <w:tcW w:type="dxa" w:w="6700"/>
            <w:shd w:fill="D9CBB4" w:val="clear"/>
          </w:tcPr>
          <w:p>
            <w:r>
              <w:rPr>
                <w:b/>
                <w:bCs/>
                <w:sz w:val="20"/>
                <w:szCs w:val="20"/>
              </w:rPr>
              <w:t xml:space="preserve">Requirement</w:t>
            </w:r>
          </w:p>
        </w:tc>
        <w:tc>
          <w:tcPr>
            <w:tcW w:type="dxa" w:w="1450"/>
            <w:shd w:fill="D9CBB4" w:val="clear"/>
          </w:tcPr>
          <w:p>
            <w:r>
              <w:rPr>
                <w:b/>
                <w:bCs/>
                <w:sz w:val="20"/>
                <w:szCs w:val="20"/>
              </w:rPr>
              <w:t xml:space="preserve">Priority</w:t>
            </w:r>
          </w:p>
        </w:tc>
      </w:tr>
      <w:tr>
        <w:tc>
          <w:tcPr>
            <w:tcW w:type="dxa" w:w="1200"/>
          </w:tcPr>
          <w:p>
            <w:r>
              <w:rPr>
                <w:b w:val="false"/>
                <w:bCs w:val="false"/>
                <w:sz w:val="20"/>
                <w:szCs w:val="20"/>
              </w:rPr>
              <w:t xml:space="preserve">FR-01</w:t>
            </w:r>
          </w:p>
        </w:tc>
        <w:tc>
          <w:tcPr>
            <w:tcW w:type="dxa" w:w="6700"/>
          </w:tcPr>
          <w:p>
            <w:r>
              <w:rPr>
                <w:b w:val="false"/>
                <w:bCs w:val="false"/>
                <w:sz w:val="20"/>
                <w:szCs w:val="20"/>
              </w:rPr>
              <w:t xml:space="preserve">The system shall allow a user to select their reporter type (Student or Indigene) before submitting a report.</w:t>
            </w:r>
          </w:p>
        </w:tc>
        <w:tc>
          <w:tcPr>
            <w:tcW w:type="dxa" w:w="1450"/>
          </w:tcPr>
          <w:p>
            <w:r>
              <w:rPr>
                <w:b w:val="false"/>
                <w:bCs w:val="false"/>
                <w:sz w:val="20"/>
                <w:szCs w:val="20"/>
              </w:rPr>
              <w:t xml:space="preserve">High</w:t>
            </w:r>
          </w:p>
        </w:tc>
      </w:tr>
      <w:tr>
        <w:tc>
          <w:tcPr>
            <w:tcW w:type="dxa" w:w="1200"/>
          </w:tcPr>
          <w:p>
            <w:r>
              <w:rPr>
                <w:b w:val="false"/>
                <w:bCs w:val="false"/>
                <w:sz w:val="20"/>
                <w:szCs w:val="20"/>
              </w:rPr>
              <w:t xml:space="preserve">FR-02</w:t>
            </w:r>
          </w:p>
        </w:tc>
        <w:tc>
          <w:tcPr>
            <w:tcW w:type="dxa" w:w="6700"/>
          </w:tcPr>
          <w:p>
            <w:r>
              <w:rPr>
                <w:b w:val="false"/>
                <w:bCs w:val="false"/>
                <w:sz w:val="20"/>
                <w:szCs w:val="20"/>
              </w:rPr>
              <w:t xml:space="preserve">The system shall allow a user to select an issue category from a predefined list.</w:t>
            </w:r>
          </w:p>
        </w:tc>
        <w:tc>
          <w:tcPr>
            <w:tcW w:type="dxa" w:w="1450"/>
          </w:tcPr>
          <w:p>
            <w:r>
              <w:rPr>
                <w:b w:val="false"/>
                <w:bCs w:val="false"/>
                <w:sz w:val="20"/>
                <w:szCs w:val="20"/>
              </w:rPr>
              <w:t xml:space="preserve">High</w:t>
            </w:r>
          </w:p>
        </w:tc>
      </w:tr>
      <w:tr>
        <w:tc>
          <w:tcPr>
            <w:tcW w:type="dxa" w:w="1200"/>
          </w:tcPr>
          <w:p>
            <w:r>
              <w:rPr>
                <w:b w:val="false"/>
                <w:bCs w:val="false"/>
                <w:sz w:val="20"/>
                <w:szCs w:val="20"/>
              </w:rPr>
              <w:t xml:space="preserve">FR-03</w:t>
            </w:r>
          </w:p>
        </w:tc>
        <w:tc>
          <w:tcPr>
            <w:tcW w:type="dxa" w:w="6700"/>
          </w:tcPr>
          <w:p>
            <w:r>
              <w:rPr>
                <w:b w:val="false"/>
                <w:bCs w:val="false"/>
                <w:sz w:val="20"/>
                <w:szCs w:val="20"/>
              </w:rPr>
              <w:t xml:space="preserve">The system shall allow a user to enter a location and a free-text description of the issue.</w:t>
            </w:r>
          </w:p>
        </w:tc>
        <w:tc>
          <w:tcPr>
            <w:tcW w:type="dxa" w:w="1450"/>
          </w:tcPr>
          <w:p>
            <w:r>
              <w:rPr>
                <w:b w:val="false"/>
                <w:bCs w:val="false"/>
                <w:sz w:val="20"/>
                <w:szCs w:val="20"/>
              </w:rPr>
              <w:t xml:space="preserve">High</w:t>
            </w:r>
          </w:p>
        </w:tc>
      </w:tr>
      <w:tr>
        <w:tc>
          <w:tcPr>
            <w:tcW w:type="dxa" w:w="1200"/>
          </w:tcPr>
          <w:p>
            <w:r>
              <w:rPr>
                <w:b w:val="false"/>
                <w:bCs w:val="false"/>
                <w:sz w:val="20"/>
                <w:szCs w:val="20"/>
              </w:rPr>
              <w:t xml:space="preserve">FR-04</w:t>
            </w:r>
          </w:p>
        </w:tc>
        <w:tc>
          <w:tcPr>
            <w:tcW w:type="dxa" w:w="6700"/>
          </w:tcPr>
          <w:p>
            <w:r>
              <w:rPr>
                <w:b w:val="false"/>
                <w:bCs w:val="false"/>
                <w:sz w:val="20"/>
                <w:szCs w:val="20"/>
              </w:rPr>
              <w:t xml:space="preserve">The system shall reject submission of a report with an empty description field.</w:t>
            </w:r>
          </w:p>
        </w:tc>
        <w:tc>
          <w:tcPr>
            <w:tcW w:type="dxa" w:w="1450"/>
          </w:tcPr>
          <w:p>
            <w:r>
              <w:rPr>
                <w:b w:val="false"/>
                <w:bCs w:val="false"/>
                <w:sz w:val="20"/>
                <w:szCs w:val="20"/>
              </w:rPr>
              <w:t xml:space="preserve">Medium</w:t>
            </w:r>
          </w:p>
        </w:tc>
      </w:tr>
      <w:tr>
        <w:tc>
          <w:tcPr>
            <w:tcW w:type="dxa" w:w="1200"/>
          </w:tcPr>
          <w:p>
            <w:r>
              <w:rPr>
                <w:b w:val="false"/>
                <w:bCs w:val="false"/>
                <w:sz w:val="20"/>
                <w:szCs w:val="20"/>
              </w:rPr>
              <w:t xml:space="preserve">FR-05</w:t>
            </w:r>
          </w:p>
        </w:tc>
        <w:tc>
          <w:tcPr>
            <w:tcW w:type="dxa" w:w="6700"/>
          </w:tcPr>
          <w:p>
            <w:r>
              <w:rPr>
                <w:b w:val="false"/>
                <w:bCs w:val="false"/>
                <w:sz w:val="20"/>
                <w:szCs w:val="20"/>
              </w:rPr>
              <w:t xml:space="preserve">The system shall display all submitted reports in a public Issue Feed, most recent first.</w:t>
            </w:r>
          </w:p>
        </w:tc>
        <w:tc>
          <w:tcPr>
            <w:tcW w:type="dxa" w:w="1450"/>
          </w:tcPr>
          <w:p>
            <w:r>
              <w:rPr>
                <w:b w:val="false"/>
                <w:bCs w:val="false"/>
                <w:sz w:val="20"/>
                <w:szCs w:val="20"/>
              </w:rPr>
              <w:t xml:space="preserve">High</w:t>
            </w:r>
          </w:p>
        </w:tc>
      </w:tr>
      <w:tr>
        <w:tc>
          <w:tcPr>
            <w:tcW w:type="dxa" w:w="1200"/>
          </w:tcPr>
          <w:p>
            <w:r>
              <w:rPr>
                <w:b w:val="false"/>
                <w:bCs w:val="false"/>
                <w:sz w:val="20"/>
                <w:szCs w:val="20"/>
              </w:rPr>
              <w:t xml:space="preserve">FR-06</w:t>
            </w:r>
          </w:p>
        </w:tc>
        <w:tc>
          <w:tcPr>
            <w:tcW w:type="dxa" w:w="6700"/>
          </w:tcPr>
          <w:p>
            <w:r>
              <w:rPr>
                <w:b w:val="false"/>
                <w:bCs w:val="false"/>
                <w:sz w:val="20"/>
                <w:szCs w:val="20"/>
              </w:rPr>
              <w:t xml:space="preserve">The system shall display the current status (Pending, Reviewing, Resolved) of every report.</w:t>
            </w:r>
          </w:p>
        </w:tc>
        <w:tc>
          <w:tcPr>
            <w:tcW w:type="dxa" w:w="1450"/>
          </w:tcPr>
          <w:p>
            <w:r>
              <w:rPr>
                <w:b w:val="false"/>
                <w:bCs w:val="false"/>
                <w:sz w:val="20"/>
                <w:szCs w:val="20"/>
              </w:rPr>
              <w:t xml:space="preserve">High</w:t>
            </w:r>
          </w:p>
        </w:tc>
      </w:tr>
      <w:tr>
        <w:tc>
          <w:tcPr>
            <w:tcW w:type="dxa" w:w="1200"/>
          </w:tcPr>
          <w:p>
            <w:r>
              <w:rPr>
                <w:b w:val="false"/>
                <w:bCs w:val="false"/>
                <w:sz w:val="20"/>
                <w:szCs w:val="20"/>
              </w:rPr>
              <w:t xml:space="preserve">FR-07</w:t>
            </w:r>
          </w:p>
        </w:tc>
        <w:tc>
          <w:tcPr>
            <w:tcW w:type="dxa" w:w="6700"/>
          </w:tcPr>
          <w:p>
            <w:r>
              <w:rPr>
                <w:b w:val="false"/>
                <w:bCs w:val="false"/>
                <w:sz w:val="20"/>
                <w:szCs w:val="20"/>
              </w:rPr>
              <w:t xml:space="preserve">The system shall allow an Admin/Moderator to review and categorize a submitted report.</w:t>
            </w:r>
          </w:p>
        </w:tc>
        <w:tc>
          <w:tcPr>
            <w:tcW w:type="dxa" w:w="1450"/>
          </w:tcPr>
          <w:p>
            <w:r>
              <w:rPr>
                <w:b w:val="false"/>
                <w:bCs w:val="false"/>
                <w:sz w:val="20"/>
                <w:szCs w:val="20"/>
              </w:rPr>
              <w:t xml:space="preserve">High</w:t>
            </w:r>
          </w:p>
        </w:tc>
      </w:tr>
      <w:tr>
        <w:tc>
          <w:tcPr>
            <w:tcW w:type="dxa" w:w="1200"/>
          </w:tcPr>
          <w:p>
            <w:r>
              <w:rPr>
                <w:b w:val="false"/>
                <w:bCs w:val="false"/>
                <w:sz w:val="20"/>
                <w:szCs w:val="20"/>
              </w:rPr>
              <w:t xml:space="preserve">FR-08</w:t>
            </w:r>
          </w:p>
        </w:tc>
        <w:tc>
          <w:tcPr>
            <w:tcW w:type="dxa" w:w="6700"/>
          </w:tcPr>
          <w:p>
            <w:r>
              <w:rPr>
                <w:b w:val="false"/>
                <w:bCs w:val="false"/>
                <w:sz w:val="20"/>
                <w:szCs w:val="20"/>
              </w:rPr>
              <w:t xml:space="preserve">The system shall allow an Admin/Moderator to escalate a report to the relevant authority.</w:t>
            </w:r>
          </w:p>
        </w:tc>
        <w:tc>
          <w:tcPr>
            <w:tcW w:type="dxa" w:w="1450"/>
          </w:tcPr>
          <w:p>
            <w:r>
              <w:rPr>
                <w:b w:val="false"/>
                <w:bCs w:val="false"/>
                <w:sz w:val="20"/>
                <w:szCs w:val="20"/>
              </w:rPr>
              <w:t xml:space="preserve">Medium</w:t>
            </w:r>
          </w:p>
        </w:tc>
      </w:tr>
      <w:tr>
        <w:tc>
          <w:tcPr>
            <w:tcW w:type="dxa" w:w="1200"/>
          </w:tcPr>
          <w:p>
            <w:r>
              <w:rPr>
                <w:b w:val="false"/>
                <w:bCs w:val="false"/>
                <w:sz w:val="20"/>
                <w:szCs w:val="20"/>
              </w:rPr>
              <w:t xml:space="preserve">FR-09</w:t>
            </w:r>
          </w:p>
        </w:tc>
        <w:tc>
          <w:tcPr>
            <w:tcW w:type="dxa" w:w="6700"/>
          </w:tcPr>
          <w:p>
            <w:r>
              <w:rPr>
                <w:b w:val="false"/>
                <w:bCs w:val="false"/>
                <w:sz w:val="20"/>
                <w:szCs w:val="20"/>
              </w:rPr>
              <w:t xml:space="preserve">The system shall allow an Admin/Moderator to update the status of a report.</w:t>
            </w:r>
          </w:p>
        </w:tc>
        <w:tc>
          <w:tcPr>
            <w:tcW w:type="dxa" w:w="1450"/>
          </w:tcPr>
          <w:p>
            <w:r>
              <w:rPr>
                <w:b w:val="false"/>
                <w:bCs w:val="false"/>
                <w:sz w:val="20"/>
                <w:szCs w:val="20"/>
              </w:rPr>
              <w:t xml:space="preserve">High</w:t>
            </w:r>
          </w:p>
        </w:tc>
      </w:tr>
      <w:tr>
        <w:tc>
          <w:tcPr>
            <w:tcW w:type="dxa" w:w="1200"/>
          </w:tcPr>
          <w:p>
            <w:r>
              <w:rPr>
                <w:b w:val="false"/>
                <w:bCs w:val="false"/>
                <w:sz w:val="20"/>
                <w:szCs w:val="20"/>
              </w:rPr>
              <w:t xml:space="preserve">FR-10</w:t>
            </w:r>
          </w:p>
        </w:tc>
        <w:tc>
          <w:tcPr>
            <w:tcW w:type="dxa" w:w="6700"/>
          </w:tcPr>
          <w:p>
            <w:r>
              <w:rPr>
                <w:b w:val="false"/>
                <w:bCs w:val="false"/>
                <w:sz w:val="20"/>
                <w:szCs w:val="20"/>
              </w:rPr>
              <w:t xml:space="preserve">The system shall trigger a notification to the reporter whenever a report's status changes.</w:t>
            </w:r>
          </w:p>
        </w:tc>
        <w:tc>
          <w:tcPr>
            <w:tcW w:type="dxa" w:w="1450"/>
          </w:tcPr>
          <w:p>
            <w:r>
              <w:rPr>
                <w:b w:val="false"/>
                <w:bCs w:val="false"/>
                <w:sz w:val="20"/>
                <w:szCs w:val="20"/>
              </w:rPr>
              <w:t xml:space="preserve">Medium</w:t>
            </w:r>
          </w:p>
        </w:tc>
      </w:tr>
    </w:tbl>
    <w:p>
      <w:pPr>
        <w:spacing w:after="200"/>
      </w:pPr>
    </w:p>
    <w:p>
      <w:pPr>
        <w:pStyle w:val="Heading1"/>
        <w:spacing w:after="150" w:before="300"/>
      </w:pPr>
      <w:r>
        <w:t xml:space="preserve">5. Non-Functional Requirements</w:t>
      </w:r>
    </w:p>
    <w:tbl>
      <w:tblPr>
        <w:tblW w:type="dxa" w:w="9350"/>
        <w:tblBorders>
          <w:top w:val="single" w:color="999999" w:sz="4"/>
          <w:left w:val="single" w:color="999999" w:sz="4"/>
          <w:bottom w:val="single" w:color="999999" w:sz="4"/>
          <w:right w:val="single" w:color="999999" w:sz="4"/>
          <w:insideH w:val="single" w:color="999999" w:sz="4"/>
          <w:insideV w:val="single" w:color="999999" w:sz="4"/>
        </w:tblBorders>
      </w:tblPr>
      <w:tblGrid>
        <w:gridCol w:w="1300"/>
        <w:gridCol w:w="6650"/>
        <w:gridCol w:w="1400"/>
      </w:tblGrid>
      <w:tr>
        <w:tc>
          <w:tcPr>
            <w:tcW w:type="dxa" w:w="1300"/>
            <w:shd w:fill="D9CBB4" w:val="clear"/>
          </w:tcPr>
          <w:p>
            <w:r>
              <w:rPr>
                <w:b/>
                <w:bCs/>
                <w:sz w:val="20"/>
                <w:szCs w:val="20"/>
              </w:rPr>
              <w:t xml:space="preserve">ID</w:t>
            </w:r>
          </w:p>
        </w:tc>
        <w:tc>
          <w:tcPr>
            <w:tcW w:type="dxa" w:w="6650"/>
            <w:shd w:fill="D9CBB4" w:val="clear"/>
          </w:tcPr>
          <w:p>
            <w:r>
              <w:rPr>
                <w:b/>
                <w:bCs/>
                <w:sz w:val="20"/>
                <w:szCs w:val="20"/>
              </w:rPr>
              <w:t xml:space="preserve">Requirement</w:t>
            </w:r>
          </w:p>
        </w:tc>
        <w:tc>
          <w:tcPr>
            <w:tcW w:type="dxa" w:w="1400"/>
            <w:shd w:fill="D9CBB4" w:val="clear"/>
          </w:tcPr>
          <w:p>
            <w:r>
              <w:rPr>
                <w:b/>
                <w:bCs/>
                <w:sz w:val="20"/>
                <w:szCs w:val="20"/>
              </w:rPr>
              <w:t xml:space="preserve">Category</w:t>
            </w:r>
          </w:p>
        </w:tc>
      </w:tr>
      <w:tr>
        <w:tc>
          <w:tcPr>
            <w:tcW w:type="dxa" w:w="1300"/>
          </w:tcPr>
          <w:p>
            <w:r>
              <w:rPr>
                <w:b w:val="false"/>
                <w:bCs w:val="false"/>
                <w:sz w:val="20"/>
                <w:szCs w:val="20"/>
              </w:rPr>
              <w:t xml:space="preserve">NFR-01</w:t>
            </w:r>
          </w:p>
        </w:tc>
        <w:tc>
          <w:tcPr>
            <w:tcW w:type="dxa" w:w="6650"/>
          </w:tcPr>
          <w:p>
            <w:r>
              <w:rPr>
                <w:b w:val="false"/>
                <w:bCs w:val="false"/>
                <w:sz w:val="20"/>
                <w:szCs w:val="20"/>
              </w:rPr>
              <w:t xml:space="preserve">The interface shall be usable on mobile screens as small as 360px wide without horizontal scrolling.</w:t>
            </w:r>
          </w:p>
        </w:tc>
        <w:tc>
          <w:tcPr>
            <w:tcW w:type="dxa" w:w="1400"/>
          </w:tcPr>
          <w:p>
            <w:r>
              <w:rPr>
                <w:b w:val="false"/>
                <w:bCs w:val="false"/>
                <w:sz w:val="20"/>
                <w:szCs w:val="20"/>
              </w:rPr>
              <w:t xml:space="preserve">Usability</w:t>
            </w:r>
          </w:p>
        </w:tc>
      </w:tr>
      <w:tr>
        <w:tc>
          <w:tcPr>
            <w:tcW w:type="dxa" w:w="1300"/>
          </w:tcPr>
          <w:p>
            <w:r>
              <w:rPr>
                <w:b w:val="false"/>
                <w:bCs w:val="false"/>
                <w:sz w:val="20"/>
                <w:szCs w:val="20"/>
              </w:rPr>
              <w:t xml:space="preserve">NFR-02</w:t>
            </w:r>
          </w:p>
        </w:tc>
        <w:tc>
          <w:tcPr>
            <w:tcW w:type="dxa" w:w="6650"/>
          </w:tcPr>
          <w:p>
            <w:r>
              <w:rPr>
                <w:b w:val="false"/>
                <w:bCs w:val="false"/>
                <w:sz w:val="20"/>
                <w:szCs w:val="20"/>
              </w:rPr>
              <w:t xml:space="preserve">The system shall load its core interface in under 3 seconds on a 3G-equivalent connection.</w:t>
            </w:r>
          </w:p>
        </w:tc>
        <w:tc>
          <w:tcPr>
            <w:tcW w:type="dxa" w:w="1400"/>
          </w:tcPr>
          <w:p>
            <w:r>
              <w:rPr>
                <w:b w:val="false"/>
                <w:bCs w:val="false"/>
                <w:sz w:val="20"/>
                <w:szCs w:val="20"/>
              </w:rPr>
              <w:t xml:space="preserve">Performance</w:t>
            </w:r>
          </w:p>
        </w:tc>
      </w:tr>
      <w:tr>
        <w:tc>
          <w:tcPr>
            <w:tcW w:type="dxa" w:w="1300"/>
          </w:tcPr>
          <w:p>
            <w:r>
              <w:rPr>
                <w:b w:val="false"/>
                <w:bCs w:val="false"/>
                <w:sz w:val="20"/>
                <w:szCs w:val="20"/>
              </w:rPr>
              <w:t xml:space="preserve">NFR-03</w:t>
            </w:r>
          </w:p>
        </w:tc>
        <w:tc>
          <w:tcPr>
            <w:tcW w:type="dxa" w:w="6650"/>
          </w:tcPr>
          <w:p>
            <w:r>
              <w:rPr>
                <w:b w:val="false"/>
                <w:bCs w:val="false"/>
                <w:sz w:val="20"/>
                <w:szCs w:val="20"/>
              </w:rPr>
              <w:t xml:space="preserve">The interface shall use plain, non-technical language understandable to users with basic literacy.</w:t>
            </w:r>
          </w:p>
        </w:tc>
        <w:tc>
          <w:tcPr>
            <w:tcW w:type="dxa" w:w="1400"/>
          </w:tcPr>
          <w:p>
            <w:r>
              <w:rPr>
                <w:b w:val="false"/>
                <w:bCs w:val="false"/>
                <w:sz w:val="20"/>
                <w:szCs w:val="20"/>
              </w:rPr>
              <w:t xml:space="preserve">Usability</w:t>
            </w:r>
          </w:p>
        </w:tc>
      </w:tr>
      <w:tr>
        <w:tc>
          <w:tcPr>
            <w:tcW w:type="dxa" w:w="1300"/>
          </w:tcPr>
          <w:p>
            <w:r>
              <w:rPr>
                <w:b w:val="false"/>
                <w:bCs w:val="false"/>
                <w:sz w:val="20"/>
                <w:szCs w:val="20"/>
              </w:rPr>
              <w:t xml:space="preserve">NFR-04</w:t>
            </w:r>
          </w:p>
        </w:tc>
        <w:tc>
          <w:tcPr>
            <w:tcW w:type="dxa" w:w="6650"/>
          </w:tcPr>
          <w:p>
            <w:r>
              <w:rPr>
                <w:b w:val="false"/>
                <w:bCs w:val="false"/>
                <w:sz w:val="20"/>
                <w:szCs w:val="20"/>
              </w:rPr>
              <w:t xml:space="preserve">The system shall remain operable without requiring account registration for report submission, given the sensitivity and urgency of some reports.</w:t>
            </w:r>
          </w:p>
        </w:tc>
        <w:tc>
          <w:tcPr>
            <w:tcW w:type="dxa" w:w="1400"/>
          </w:tcPr>
          <w:p>
            <w:r>
              <w:rPr>
                <w:b w:val="false"/>
                <w:bCs w:val="false"/>
                <w:sz w:val="20"/>
                <w:szCs w:val="20"/>
              </w:rPr>
              <w:t xml:space="preserve">Accessibility</w:t>
            </w:r>
          </w:p>
        </w:tc>
      </w:tr>
      <w:tr>
        <w:tc>
          <w:tcPr>
            <w:tcW w:type="dxa" w:w="1300"/>
          </w:tcPr>
          <w:p>
            <w:r>
              <w:rPr>
                <w:b w:val="false"/>
                <w:bCs w:val="false"/>
                <w:sz w:val="20"/>
                <w:szCs w:val="20"/>
              </w:rPr>
              <w:t xml:space="preserve">NFR-05</w:t>
            </w:r>
          </w:p>
        </w:tc>
        <w:tc>
          <w:tcPr>
            <w:tcW w:type="dxa" w:w="6650"/>
          </w:tcPr>
          <w:p>
            <w:r>
              <w:rPr>
                <w:b w:val="false"/>
                <w:bCs w:val="false"/>
                <w:sz w:val="20"/>
                <w:szCs w:val="20"/>
              </w:rPr>
              <w:t xml:space="preserve">The system shall be extensible to support persistent storage and authentication in a future iteration.</w:t>
            </w:r>
          </w:p>
        </w:tc>
        <w:tc>
          <w:tcPr>
            <w:tcW w:type="dxa" w:w="1400"/>
          </w:tcPr>
          <w:p>
            <w:r>
              <w:rPr>
                <w:b w:val="false"/>
                <w:bCs w:val="false"/>
                <w:sz w:val="20"/>
                <w:szCs w:val="20"/>
              </w:rPr>
              <w:t xml:space="preserve">Maintainability</w:t>
            </w:r>
          </w:p>
        </w:tc>
      </w:tr>
      <w:tr>
        <w:tc>
          <w:tcPr>
            <w:tcW w:type="dxa" w:w="1300"/>
          </w:tcPr>
          <w:p>
            <w:r>
              <w:rPr>
                <w:b w:val="false"/>
                <w:bCs w:val="false"/>
                <w:sz w:val="20"/>
                <w:szCs w:val="20"/>
              </w:rPr>
              <w:t xml:space="preserve">NFR-06</w:t>
            </w:r>
          </w:p>
        </w:tc>
        <w:tc>
          <w:tcPr>
            <w:tcW w:type="dxa" w:w="6650"/>
          </w:tcPr>
          <w:p>
            <w:r>
              <w:rPr>
                <w:b w:val="false"/>
                <w:bCs w:val="false"/>
                <w:sz w:val="20"/>
                <w:szCs w:val="20"/>
              </w:rPr>
              <w:t xml:space="preserve">The system's visual design shall clearly distinguish report status at a glance (colour-coded status tags).</w:t>
            </w:r>
          </w:p>
        </w:tc>
        <w:tc>
          <w:tcPr>
            <w:tcW w:type="dxa" w:w="1400"/>
          </w:tcPr>
          <w:p>
            <w:r>
              <w:rPr>
                <w:b w:val="false"/>
                <w:bCs w:val="false"/>
                <w:sz w:val="20"/>
                <w:szCs w:val="20"/>
              </w:rPr>
              <w:t xml:space="preserve">Usability</w:t>
            </w:r>
          </w:p>
        </w:tc>
      </w:tr>
      <w:tr>
        <w:tc>
          <w:tcPr>
            <w:tcW w:type="dxa" w:w="1300"/>
          </w:tcPr>
          <w:p>
            <w:r>
              <w:rPr>
                <w:b w:val="false"/>
                <w:bCs w:val="false"/>
                <w:sz w:val="20"/>
                <w:szCs w:val="20"/>
              </w:rPr>
              <w:t xml:space="preserve">NFR-07</w:t>
            </w:r>
          </w:p>
        </w:tc>
        <w:tc>
          <w:tcPr>
            <w:tcW w:type="dxa" w:w="6650"/>
          </w:tcPr>
          <w:p>
            <w:r>
              <w:rPr>
                <w:b w:val="false"/>
                <w:bCs w:val="false"/>
                <w:sz w:val="20"/>
                <w:szCs w:val="20"/>
              </w:rPr>
              <w:t xml:space="preserve">The system shall be implemented using widely supported web standards (HTML/CSS/JS) to avoid platform lock-in.</w:t>
            </w:r>
          </w:p>
        </w:tc>
        <w:tc>
          <w:tcPr>
            <w:tcW w:type="dxa" w:w="1400"/>
          </w:tcPr>
          <w:p>
            <w:r>
              <w:rPr>
                <w:b w:val="false"/>
                <w:bCs w:val="false"/>
                <w:sz w:val="20"/>
                <w:szCs w:val="20"/>
              </w:rPr>
              <w:t xml:space="preserve">Portability</w:t>
            </w:r>
          </w:p>
        </w:tc>
      </w:tr>
    </w:tbl>
    <w:p>
      <w:pPr>
        <w:spacing w:after="200"/>
      </w:pPr>
    </w:p>
    <w:p>
      <w:pPr>
        <w:pStyle w:val="Heading1"/>
        <w:spacing w:after="150" w:before="300"/>
      </w:pPr>
      <w:r>
        <w:t xml:space="preserve">6. Appendix</w:t>
      </w:r>
    </w:p>
    <w:p>
      <w:pPr>
        <w:pStyle w:val="Heading2"/>
        <w:spacing w:after="100" w:before="220"/>
      </w:pPr>
      <w:r>
        <w:t xml:space="preserve">6.1 Related Artifacts</w:t>
      </w:r>
    </w:p>
    <w:p>
      <w:pPr>
        <w:pStyle w:val="ListParagraph"/>
        <w:numPr>
          <w:ilvl w:val="0"/>
          <w:numId w:val="1"/>
        </w:numPr>
        <w:spacing w:after="60"/>
      </w:pPr>
      <w:r>
        <w:t xml:space="preserve">Ishikawa (Fishbone) Diagram — root cause analysis of ineffective issue reporting between students and indigenes</w:t>
      </w:r>
    </w:p>
    <w:p>
      <w:pPr>
        <w:pStyle w:val="ListParagraph"/>
        <w:numPr>
          <w:ilvl w:val="0"/>
          <w:numId w:val="1"/>
        </w:numPr>
        <w:spacing w:after="60"/>
      </w:pPr>
      <w:r>
        <w:t xml:space="preserve">Use-Case Diagram — actors and use cases described in Section 3</w:t>
      </w:r>
    </w:p>
    <w:p>
      <w:pPr>
        <w:pStyle w:val="ListParagraph"/>
        <w:numPr>
          <w:ilvl w:val="0"/>
          <w:numId w:val="1"/>
        </w:numPr>
        <w:spacing w:after="60"/>
      </w:pPr>
      <w:r>
        <w:t xml:space="preserve">Mini Web Interface — implementation of the Reporting Interface and Issue Feed described in Section 3</w:t>
      </w:r>
    </w:p>
    <w:p>
      <w:pPr>
        <w:pStyle w:val="ListParagraph"/>
        <w:numPr>
          <w:ilvl w:val="0"/>
          <w:numId w:val="1"/>
        </w:numPr>
        <w:spacing w:after="60"/>
      </w:pPr>
      <w:r>
        <w:t xml:space="preserve">Google Form Questionnaire — community input instrument distributed to students and indigenes</w:t>
      </w:r>
    </w:p>
    <w:p>
      <w:pPr>
        <w:pStyle w:val="Heading2"/>
        <w:spacing w:after="100" w:before="220"/>
      </w:pPr>
      <w:r>
        <w:t xml:space="preserve">6.2 Questionnaire Link</w:t>
      </w:r>
    </w:p>
    <w:p>
      <w:pPr>
        <w:spacing w:after="140"/>
        <w:jc w:val="both"/>
      </w:pPr>
      <w:r>
        <w:rPr>
          <w:sz w:val="21"/>
          <w:szCs w:val="21"/>
        </w:rPr>
        <w:t xml:space="preserve">The community feedback questionnaire referenced above is accessible at: https://docs.google.com/forms/d/e/1FAIpQLScJp3DUx7lum4Q2hYwy_5W6KHv2gD0MOfTMdxTp2AH1TwOZ9A/viewform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2026-07-09T09:00:38.840Z</dcterms:created>
  <dcterms:modified xsi:type="dcterms:W3CDTF">2026-07-09T09:00:38.859Z</dcterms:modified>
</cp:coreProperties>
</file>

<file path=docProps/custom.xml><?xml version="1.0" encoding="utf-8"?>
<Properties xmlns="http://schemas.openxmlformats.org/officeDocument/2006/custom-properties" xmlns:vt="http://schemas.openxmlformats.org/officeDocument/2006/docPropsVTypes"/>
</file>