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82B49"/>
          <w:sz w:val="40"/>
        </w:rPr>
        <w:t>TANUJA SHARMA</w:t>
        <w:br/>
      </w:r>
      <w:r>
        <w:rPr>
          <w:rFonts w:ascii="Calibri" w:hAnsi="Calibri"/>
          <w:b w:val="0"/>
          <w:i w:val="0"/>
          <w:color w:val="5A5A5A"/>
          <w:sz w:val="20"/>
        </w:rPr>
        <w:t>Austin, TX | +1 (512) 555-0188 | tanuja.sharma.ml@example.com | linkedin.com/in/tanuja-sharma-ai | Work Auth: C2C</w:t>
      </w:r>
    </w:p>
    <w:p>
      <w:pPr>
        <w:spacing w:before="240" w:after="80"/>
      </w:pPr>
      <w:r>
        <w:rPr>
          <w:rFonts w:ascii="Calibri" w:hAnsi="Calibri"/>
          <w:b/>
          <w:i w:val="0"/>
          <w:color w:val="184C78"/>
          <w:sz w:val="24"/>
        </w:rPr>
        <w:t>PROFESSIONAL SUMMARY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1"/>
        </w:rPr>
        <w:t>Senior Data Scientist and Machine Learning Engineer with 7+ years of experience leading the development and deployment of production AI/ML systems, NLP pipelines, and Large Language Model (LLM) architectures. Skilled in Python, PyTorch, Scikit-Learn, Databricks, Snowflake, and AWS MLOps.</w:t>
      </w:r>
    </w:p>
    <w:p>
      <w:pPr>
        <w:spacing w:before="240" w:after="80"/>
      </w:pPr>
      <w:r>
        <w:rPr>
          <w:rFonts w:ascii="Calibri" w:hAnsi="Calibri"/>
          <w:b/>
          <w:i w:val="0"/>
          <w:color w:val="184C78"/>
          <w:sz w:val="24"/>
        </w:rPr>
        <w:t>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color w:val="182B49"/>
                <w:sz w:val="20"/>
              </w:rPr>
              <w:t>Machine Learning &amp; AI: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PyTorch, TensorFlow, Scikit-Learn, Hugging Face, LLMs, NLP, LangChain, Computer Vision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color w:val="182B49"/>
                <w:sz w:val="20"/>
              </w:rPr>
              <w:t>Languages &amp; Libraries: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Python, SQL, R, Pandas, NumPy, SciPy, Matplotlib, Seaborn, FastAPI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color w:val="182B49"/>
                <w:sz w:val="20"/>
              </w:rPr>
              <w:t>Big Data &amp; Storage: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Databricks, Apache Spark, Snowflake, PostgreSQL, BigQuery, AWS S3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color w:val="182B49"/>
                <w:sz w:val="20"/>
              </w:rPr>
              <w:t>MLOps &amp; Cloud: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AWS SageMaker, Docker, Kubernetes, MLflow, Airflow, CI/CD, Git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84C78"/>
          <w:sz w:val="24"/>
        </w:rPr>
        <w:t>PROFESSIONAL EXPERIENCE</w:t>
      </w:r>
    </w:p>
    <w:p>
      <w:pPr>
        <w:spacing w:before="160"/>
      </w:pPr>
      <w:r>
        <w:rPr>
          <w:rFonts w:ascii="Calibri" w:hAnsi="Calibri"/>
          <w:b/>
          <w:i w:val="0"/>
          <w:color w:val="182B49"/>
          <w:sz w:val="22"/>
        </w:rPr>
        <w:t>Lead Machine Learning Engineer | DataVision Analytics, Austin, TX (2022 – Present)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Designed and deployed generative AI models and retrieval-augmented generation (RAG) pipelines using Python and LangChain.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Built scalable machine learning workflows using PyTorch and Scikit-Learn on Databricks clusters.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Automated end-to-end model training, evaluation, and registry deployment using MLflow and AWS SageMaker.</w:t>
      </w:r>
    </w:p>
    <w:p>
      <w:pPr>
        <w:spacing w:before="160"/>
      </w:pPr>
      <w:r>
        <w:rPr>
          <w:rFonts w:ascii="Calibri" w:hAnsi="Calibri"/>
          <w:b/>
          <w:i w:val="0"/>
          <w:color w:val="182B49"/>
          <w:sz w:val="22"/>
        </w:rPr>
        <w:t>Senior Data Scientist | FinEdge Solutions, San Jose, CA (2019 – 2022)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Developed fraud detection predictive models achieving 94.2% ROC-AUC score across 50M+ financial transactions.</w:t>
      </w:r>
    </w:p>
    <w:p>
      <w:pPr>
        <w:pStyle w:val="ListBullet"/>
        <w:spacing w:before="40" w:after="40"/>
      </w:pPr>
      <w:r>
        <w:rPr>
          <w:rFonts w:ascii="Calibri" w:hAnsi="Calibri"/>
          <w:b w:val="0"/>
          <w:i w:val="0"/>
          <w:color w:val="333333"/>
          <w:sz w:val="21"/>
        </w:rPr>
        <w:t>Wrote optimized SQL transformations in Snowflake to extract, clean, and engineer multi-terabyte features.</w:t>
      </w:r>
    </w:p>
    <w:p>
      <w:pPr>
        <w:spacing w:before="240" w:after="80"/>
      </w:pPr>
      <w:r>
        <w:rPr>
          <w:rFonts w:ascii="Calibri" w:hAnsi="Calibri"/>
          <w:b/>
          <w:i w:val="0"/>
          <w:color w:val="184C78"/>
          <w:sz w:val="24"/>
        </w:rPr>
        <w:t>EDUCATION</w:t>
      </w:r>
    </w:p>
    <w:p>
      <w:r>
        <w:rPr>
          <w:rFonts w:ascii="Calibri" w:hAnsi="Calibri"/>
          <w:b w:val="0"/>
          <w:i w:val="0"/>
          <w:color w:val="333333"/>
          <w:sz w:val="20"/>
        </w:rPr>
        <w:t>Master of Science in Data Science | University of California, Berkeley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