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8c323c792a14450"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41411655184a44c6"/>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1e293b"/>
          <w:spacing w:val="30"/>
          <w:sz w:val="72"/>
        </w:rPr>
        <w:t>Revue Architecturale</w:t>
      </w:r>
    </w:p>
    <w:p>
      <w:pPr>
        <w:spacing w:after="600"/>
        <w:ind w:left="1200" w:right="1200"/>
        <w:jc w:val="left"/>
      </w:pPr>
      <w:r>
        <w:rPr>
          <w:color w:val="2563EB"/>
          <w:spacing w:val="20"/>
          <w:sz w:val="56"/>
        </w:rPr>
        <w:t>Pipeline Data Retail Azure</w:t>
      </w:r>
    </w:p>
    <w:p>
      <w:pPr>
        <w:spacing w:after="200"/>
        <w:ind w:left="1200"/>
      </w:pPr>
      <w:r>
        <w:rPr>
          <w:color w:val="475569"/>
          <w:sz w:val="24"/>
        </w:rPr>
        <w:t>Analyse critique et recommandations d'industrialisation</w:t>
      </w:r>
    </w:p>
    <w:p>
      <w:pPr>
        <w:ind w:left="1200"/>
      </w:pPr>
      <w:r>
        <w:rPr>
          <w:color w:val="94a3b8"/>
          <w:sz w:val="20"/>
        </w:rPr>
        <w:t>Lead Data Engineer  |  Architecte Cloud Azure  |  Juin 2026</w:t>
      </w:r>
    </w:p>
    <w:p>
      <w:pPr>
        <w:sectPr>
          <w:type w:val="nextPage"/>
          <w:pgSz w:w="11906" w:h="16838"/>
          <w:pgMar w:top="0" w:right="0" w:bottom="0" w:left="0" w:header="0" w:footer="0"/>
          <w:titlePg/>
        </w:sectPr>
      </w:pPr>
    </w:p>
    <w:p>
      <w:pPr>
        <w:pStyle w:val="Heading1"/>
      </w:pPr>
      <w:r>
        <w:t>Table des matières</w:t>
      </w:r>
    </w:p>
    <w:p>
      <w:pPr>
        <w:spacing w:after="300"/>
      </w:pPr>
      <w:r>
        <w:rPr>
          <w:color w:val="94a3b8"/>
          <w:sz w:val="18"/>
        </w:rPr>
        <w:t>Clic droit sur la TOC &gt; Mettre à jour les champs pour actualiser les numéros de page</w:t>
      </w:r>
    </w:p>
    <w:p>
      <w:r>
        <w:fldChar w:fldCharType="begin"/>
      </w:r>
      <w:r>
        <w:instrText xml:space="preserve"> TOC \o "1-3" \h \z \u </w:instrText>
      </w:r>
      <w:r>
        <w:fldChar w:fldCharType="separate"/>
      </w:r>
    </w:p>
    <w:p>
      <w:pPr>
        <w:pStyle w:val="TOC1"/>
      </w:pPr>
      <w:r>
        <w:t>1. Analyse de l'Architecture et de l'Approche</w:t>
      </w:r>
      <w:r>
        <w:tab/>
      </w:r>
      <w:r>
        <w:t>3</w:t>
      </w:r>
    </w:p>
    <w:p>
      <w:pPr>
        <w:pStyle w:val="TOC2"/>
      </w:pPr>
      <w:r>
        <w:t>Architecture Medallion et approche ELT</w:t>
      </w:r>
      <w:r>
        <w:tab/>
      </w:r>
      <w:r>
        <w:t>3</w:t>
      </w:r>
    </w:p>
    <w:p>
      <w:pPr>
        <w:pStyle w:val="TOC2"/>
      </w:pPr>
      <w:r>
        <w:t>Pertinence des services managés Azure</w:t>
      </w:r>
      <w:r>
        <w:tab/>
      </w:r>
      <w:r>
        <w:t>4</w:t>
      </w:r>
    </w:p>
    <w:p>
      <w:pPr>
        <w:pStyle w:val="TOC1"/>
      </w:pPr>
      <w:r>
        <w:t>2. Revue du Pipeline d'Ingestion (ADF)</w:t>
      </w:r>
      <w:r>
        <w:tab/>
      </w:r>
      <w:r>
        <w:t>5</w:t>
      </w:r>
    </w:p>
    <w:p>
      <w:pPr>
        <w:pStyle w:val="TOC2"/>
      </w:pPr>
      <w:r>
        <w:t>Configuration des Linked Services</w:t>
      </w:r>
      <w:r>
        <w:tab/>
      </w:r>
      <w:r>
        <w:t>5</w:t>
      </w:r>
    </w:p>
    <w:p>
      <w:pPr>
        <w:pStyle w:val="TOC2"/>
      </w:pPr>
      <w:r>
        <w:t>Stratégie d'ingestion des sources hétérogènes</w:t>
      </w:r>
      <w:r>
        <w:tab/>
      </w:r>
      <w:r>
        <w:t>6</w:t>
      </w:r>
    </w:p>
    <w:p>
      <w:pPr>
        <w:pStyle w:val="TOC1"/>
      </w:pPr>
      <w:r>
        <w:t>3. Audit des Transformations (Databricks)</w:t>
      </w:r>
      <w:r>
        <w:tab/>
      </w:r>
      <w:r>
        <w:t>7</w:t>
      </w:r>
    </w:p>
    <w:p>
      <w:pPr>
        <w:pStyle w:val="TOC2"/>
      </w:pPr>
      <w:r>
        <w:t>Logique de nettoyage Silver</w:t>
      </w:r>
      <w:r>
        <w:tab/>
      </w:r>
      <w:r>
        <w:t>7</w:t>
      </w:r>
    </w:p>
    <w:p>
      <w:pPr>
        <w:pStyle w:val="TOC2"/>
      </w:pPr>
      <w:r>
        <w:t>Authentification et sécurité d'accès au Data Lake</w:t>
      </w:r>
      <w:r>
        <w:tab/>
      </w:r>
      <w:r>
        <w:t>8</w:t>
      </w:r>
    </w:p>
    <w:p>
      <w:pPr>
        <w:pStyle w:val="TOC1"/>
      </w:pPr>
      <w:r>
        <w:t>4. Évaluation de la Modélisation Métier (Gold)</w:t>
      </w:r>
      <w:r>
        <w:tab/>
      </w:r>
      <w:r>
        <w:t>9</w:t>
      </w:r>
    </w:p>
    <w:p>
      <w:pPr>
        <w:pStyle w:val="TOC2"/>
      </w:pPr>
      <w:r>
        <w:t>Pertinence des KPIs calculés</w:t>
      </w:r>
      <w:r>
        <w:tab/>
      </w:r>
      <w:r>
        <w:t>9</w:t>
      </w:r>
    </w:p>
    <w:p>
      <w:pPr>
        <w:pStyle w:val="TOC2"/>
      </w:pPr>
      <w:r>
        <w:t>Stratégie de sortie Delta + CSV</w:t>
      </w:r>
      <w:r>
        <w:tab/>
      </w:r>
      <w:r>
        <w:t>10</w:t>
      </w:r>
    </w:p>
    <w:p>
      <w:pPr>
        <w:pStyle w:val="TOC1"/>
      </w:pPr>
      <w:r>
        <w:t>5. Bilan et Recommandations d'Industrialisation</w:t>
      </w:r>
      <w:r>
        <w:tab/>
      </w:r>
      <w:r>
        <w:t>11</w:t>
      </w:r>
    </w:p>
    <w:p>
      <w:pPr>
        <w:pStyle w:val="TOC2"/>
      </w:pPr>
      <w:r>
        <w:t>Limites techniques identifiées</w:t>
      </w:r>
      <w:r>
        <w:tab/>
      </w:r>
      <w:r>
        <w:t>11</w:t>
      </w:r>
    </w:p>
    <w:p>
      <w:pPr>
        <w:pStyle w:val="TOC2"/>
      </w:pPr>
      <w:r>
        <w:t>Recommandations stratégiques Enterprise-grade</w:t>
      </w:r>
      <w:r>
        <w:tab/>
      </w:r>
      <w:r>
        <w:t>12</w:t>
      </w:r>
    </w:p>
    <w:p>
      <w:r>
        <w:fldChar w:fldCharType="end"/>
      </w:r>
    </w:p>
    <w:p>
      <w:pPr>
        <w:sectPr>
          <w:type w:val="nextPage"/>
          <w:pgSz w:w="11906" w:h="16838"/>
          <w:pgMar w:top="1800" w:right="1440" w:bottom="1440" w:left="1440" w:header="720" w:footer="720"/>
        </w:sectPr>
      </w:pPr>
    </w:p>
    <w:p>
      <w:pPr>
        <w:pStyle w:val="Heading1"/>
      </w:pPr>
      <w:r>
        <w:t>1. Analyse de l'Architecture et de l'Approche</w:t>
      </w:r>
      <w:bookmarkStart w:name="_Toc001" w:id="1"/>
      <w:bookmarkEnd w:id="1"/>
    </w:p>
    <w:p>
      <w:pPr>
        <w:pStyle w:val="Heading2"/>
      </w:pPr>
      <w:r>
        <w:t>Architecture Medallion et approche ELT</w:t>
      </w:r>
    </w:p>
    <w:p>
      <w:r>
        <w:t>L'architecture Medallion adoptée dans ce projet constitue un choix pertinent et aligné sur les meilleures pratiques du Lakehouse moderne. La structuration en trois couches — Bronze, Silver et Gold — offre une séparation des responsabilités claire qui facilite à la fois la traçabilité des données, la reprise sur erreur et l'évolution incrémentale du pipeline. La couche Bronze assure la conservation des données brutes telles qu'ingérées depuis les sources, ce qui garantit une source de vérité immuable et permet de rejouer les transformations en aval en cas d'évolution des règles métier. Cette immutabilité est fondamentale dans tout système décisionnel qui se veut robuste et audit-able.</w:t>
      </w:r>
    </w:p>
    <w:p>
      <w:r>
        <w:t>L'approche ELT (Extract-Load-Transform) retenue s'avère particulièrement adaptée au contexte cloud Azure. En déléguant les transformations au moteur Spark de Databricks plutôt que de les réaliser dans ADF, l'architecture capitalise sur la scalabilité horizontale du calcul distribué et évite les goulots d'étranglement classiques des pipelines ETL traditionnels. Cette stratégie de délestage computationnel vers la couche de traitement permet également de séparer les préoccupations d'ingestion (débit, fiabilité, connectivité) de celles de transformation (qualité, enrichissement, agrégation). Chaque couche peut ainsi évoluer indépendamment selon ses propres contraintes de performance et de coût.</w:t>
      </w:r>
    </w:p>
    <w:p>
      <w:r>
        <w:t>Cependant, plusieurs points méritent une attention critique. L'absence de mécanisme de partitionnement explicite dans la couche Bronze — ni par date d'ingestion ni par clé naturelle — risque de dégrader significativement les performances de lecture lorsque les volumes croîtront. Pour un système retail traitant des millions de transactions quotidiennes, le partitionnement par date de transaction (voire par magasin) deviendra indispensable pour permettre le pruning efficace des requêtes Spark. De même, l'absence de métadonnées de lignage (qui a écrit quand, depuis quelle source, avec quelle version du schéma) constitue une lacune notable pour la gouvernance future.</w:t>
      </w:r>
    </w:p>
    <w:p>
      <w:pPr>
        <w:pStyle w:val="Heading2"/>
      </w:pPr>
      <w:r>
        <w:t>Pertinence des services managés Azure</w:t>
      </w:r>
    </w:p>
    <w:p>
      <w:r>
        <w:t>Le bouquet de services Azure sélectionné — Azure SQL Database, ADLS Gen2, Azure Data Factory et Databricks — forme un écosystème cohérent qui couvre l'ensemble du spectre des besoins d'une plateforme de données moderne. Azure SQL Database en tant que source transactionnelle PaaS présente l'avantage d'éliminer la charge d'administration système tout en offrant des capacités de sauvegarde point-in-time et de geo-replication essentielles à la continuité d'activité. Le choix d'ADLS Gen2 avec Hierarchical Namespace activé est particulièrement judicieux car ce mode de stockage hiérarchique est un prérequis indispensable pour le fonctionnement optimal de Databricks (opérations atomiques sur les répertoires, listages efficaces, compatibilité avec le protocole ABFS).</w:t>
      </w:r>
    </w:p>
    <w:p>
      <w:r>
        <w:t>La complémentarité entre ADF et Databricks est bien exploitée : ADF assume son rôle d'orchestrateur d'ingestion pur, tandis que Databricks prend le relais pour tout le traitement complexe. Cette démarcation évite les anti-patterns fréquents consistant à surcharger ADF de transformations en Python ou Data Flow qui seraient mieux traitées par Spark. Néanmoins, on peut regretter l'absence de Azure Key Vault dans l'architecture pour la gestion centralisée des secrets, ainsi que l'absence de Azure Monitor ou Log Analytics pour le suivi opérationnel du pipeline. Pour une architecture production-ready, ces composants ne sont pas optionnels mais constituent des briques fondamentales de sécurité et d'observabilité.</w:t>
      </w:r>
    </w:p>
    <w:tbl>
      <w:tblPr>
        <w:tblW w:w="5000" w:type="pct"/>
        <w:tblBorders>
          <w:top w:val="single" w:color="2563EB" w:sz="12"/>
          <w:left w:val="nil"/>
          <w:bottom w:val="single" w:color="2563EB" w:sz="12"/>
          <w:right w:val="nil"/>
          <w:insideH w:val="single" w:color="cbd5e1" w:sz="4"/>
          <w:insideV w:val="nil"/>
        </w:tblBorders>
      </w:tblPr>
      <w:tblGrid>
        <w:gridCol w:w="2200"/>
        <w:gridCol w:w="2600"/>
        <w:gridCol w:w="2600"/>
        <w:gridCol w:w="2600"/>
      </w:tblGrid>
      <w:tr>
        <w:trPr>
          <w:tblHeader/>
        </w:trPr>
        <w:tc>
          <w:tcPr>
            <w:tcW w:w="2200" w:type="dxa"/>
            <w:shd w:val="clear" w:fill="f1f5f9"/>
          </w:tcPr>
          <w:p>
            <w:pPr>
              <w:spacing w:before="60" w:after="60"/>
              <w:jc w:val="left"/>
            </w:pPr>
            <w:r>
              <w:rPr>
                <w:b/>
                <w:color w:val="1e293b"/>
                <w:sz w:val="20"/>
              </w:rPr>
              <w:t>Service Azure</w:t>
            </w:r>
          </w:p>
        </w:tc>
        <w:tc>
          <w:tcPr>
            <w:tcW w:w="2600" w:type="dxa"/>
            <w:shd w:val="clear" w:fill="f1f5f9"/>
          </w:tcPr>
          <w:p>
            <w:pPr>
              <w:spacing w:before="60" w:after="60"/>
              <w:jc w:val="left"/>
            </w:pPr>
            <w:r>
              <w:rPr>
                <w:b/>
                <w:color w:val="1e293b"/>
                <w:sz w:val="20"/>
              </w:rPr>
              <w:t>Rôle dans le pipeline</w:t>
            </w:r>
          </w:p>
        </w:tc>
        <w:tc>
          <w:tcPr>
            <w:tcW w:w="2600" w:type="dxa"/>
            <w:shd w:val="clear" w:fill="f1f5f9"/>
          </w:tcPr>
          <w:p>
            <w:pPr>
              <w:spacing w:before="60" w:after="60"/>
              <w:jc w:val="left"/>
            </w:pPr>
            <w:r>
              <w:rPr>
                <w:b/>
                <w:color w:val="1e293b"/>
                <w:sz w:val="20"/>
              </w:rPr>
              <w:t>Points forts</w:t>
            </w:r>
          </w:p>
        </w:tc>
        <w:tc>
          <w:tcPr>
            <w:tcW w:w="2600" w:type="dxa"/>
            <w:shd w:val="clear" w:fill="f1f5f9"/>
          </w:tcPr>
          <w:p>
            <w:pPr>
              <w:spacing w:before="60" w:after="60"/>
              <w:jc w:val="left"/>
            </w:pPr>
            <w:r>
              <w:rPr>
                <w:b/>
                <w:color w:val="1e293b"/>
                <w:sz w:val="20"/>
              </w:rPr>
              <w:t>Axes d'amélioration</w:t>
            </w:r>
          </w:p>
        </w:tc>
      </w:tr>
      <w:tr>
        <w:tc>
          <w:tcPr>
            <w:tcW w:w="2200" w:type="dxa"/>
          </w:tcPr>
          <w:p>
            <w:pPr>
              <w:spacing w:before="40" w:after="40"/>
              <w:jc w:val="left"/>
            </w:pPr>
            <w:r>
              <w:rPr>
                <w:color w:val="475569"/>
                <w:sz w:val="20"/>
              </w:rPr>
              <w:t>Azure SQL Database</w:t>
            </w:r>
          </w:p>
        </w:tc>
        <w:tc>
          <w:tcPr>
            <w:tcW w:w="2600" w:type="dxa"/>
          </w:tcPr>
          <w:p>
            <w:pPr>
              <w:spacing w:before="40" w:after="40"/>
              <w:jc w:val="left"/>
            </w:pPr>
            <w:r>
              <w:rPr>
                <w:color w:val="475569"/>
                <w:sz w:val="20"/>
              </w:rPr>
              <w:t>Source transactionnelle (OLTP)</w:t>
            </w:r>
          </w:p>
        </w:tc>
        <w:tc>
          <w:tcPr>
            <w:tcW w:w="2600" w:type="dxa"/>
          </w:tcPr>
          <w:p>
            <w:pPr>
              <w:spacing w:before="40" w:after="40"/>
              <w:jc w:val="left"/>
            </w:pPr>
            <w:r>
              <w:rPr>
                <w:color w:val="475569"/>
                <w:sz w:val="20"/>
              </w:rPr>
              <w:t>PaaS managé, backups auto, haute dispo</w:t>
            </w:r>
          </w:p>
        </w:tc>
        <w:tc>
          <w:tcPr>
            <w:tcW w:w="2600" w:type="dxa"/>
          </w:tcPr>
          <w:p>
            <w:pPr>
              <w:spacing w:before="40" w:after="40"/>
              <w:jc w:val="left"/>
            </w:pPr>
            <w:r>
              <w:rPr>
                <w:color w:val="475569"/>
                <w:sz w:val="20"/>
              </w:rPr>
              <w:t>Geo-replication, elastic pools</w:t>
            </w:r>
          </w:p>
        </w:tc>
      </w:tr>
      <w:tr>
        <w:tc>
          <w:tcPr>
            <w:tcW w:w="2200" w:type="dxa"/>
          </w:tcPr>
          <w:p>
            <w:pPr>
              <w:spacing w:before="40" w:after="40"/>
              <w:jc w:val="left"/>
            </w:pPr>
            <w:r>
              <w:rPr>
                <w:color w:val="475569"/>
                <w:sz w:val="20"/>
              </w:rPr>
              <w:t>ADLS Gen2</w:t>
            </w:r>
          </w:p>
        </w:tc>
        <w:tc>
          <w:tcPr>
            <w:tcW w:w="2600" w:type="dxa"/>
          </w:tcPr>
          <w:p>
            <w:pPr>
              <w:spacing w:before="40" w:after="40"/>
              <w:jc w:val="left"/>
            </w:pPr>
            <w:r>
              <w:rPr>
                <w:color w:val="475569"/>
                <w:sz w:val="20"/>
              </w:rPr>
              <w:t>Data Lake (Bronze/Silver/Gold)</w:t>
            </w:r>
          </w:p>
        </w:tc>
        <w:tc>
          <w:tcPr>
            <w:tcW w:w="2600" w:type="dxa"/>
          </w:tcPr>
          <w:p>
            <w:pPr>
              <w:spacing w:before="40" w:after="40"/>
              <w:jc w:val="left"/>
            </w:pPr>
            <w:r>
              <w:rPr>
                <w:color w:val="475569"/>
                <w:sz w:val="20"/>
              </w:rPr>
              <w:t>HNS activé, compatibilité Spark, tiering</w:t>
            </w:r>
          </w:p>
        </w:tc>
        <w:tc>
          <w:tcPr>
            <w:tcW w:w="2600" w:type="dxa"/>
          </w:tcPr>
          <w:p>
            <w:pPr>
              <w:spacing w:before="40" w:after="40"/>
              <w:jc w:val="left"/>
            </w:pPr>
            <w:r>
              <w:rPr>
                <w:color w:val="475569"/>
                <w:sz w:val="20"/>
              </w:rPr>
              <w:t>Lifecycle management, soft delete</w:t>
            </w:r>
          </w:p>
        </w:tc>
      </w:tr>
      <w:tr>
        <w:tc>
          <w:tcPr>
            <w:tcW w:w="2200" w:type="dxa"/>
          </w:tcPr>
          <w:p>
            <w:pPr>
              <w:spacing w:before="40" w:after="40"/>
              <w:jc w:val="left"/>
            </w:pPr>
            <w:r>
              <w:rPr>
                <w:color w:val="475569"/>
                <w:sz w:val="20"/>
              </w:rPr>
              <w:t>Azure Data Factory</w:t>
            </w:r>
          </w:p>
        </w:tc>
        <w:tc>
          <w:tcPr>
            <w:tcW w:w="2600" w:type="dxa"/>
          </w:tcPr>
          <w:p>
            <w:pPr>
              <w:spacing w:before="40" w:after="40"/>
              <w:jc w:val="left"/>
            </w:pPr>
            <w:r>
              <w:rPr>
                <w:color w:val="475569"/>
                <w:sz w:val="20"/>
              </w:rPr>
              <w:t>Orchestration d'ingestion</w:t>
            </w:r>
          </w:p>
        </w:tc>
        <w:tc>
          <w:tcPr>
            <w:tcW w:w="2600" w:type="dxa"/>
          </w:tcPr>
          <w:p>
            <w:pPr>
              <w:spacing w:before="40" w:after="40"/>
              <w:jc w:val="left"/>
            </w:pPr>
            <w:r>
              <w:rPr>
                <w:color w:val="475569"/>
                <w:sz w:val="20"/>
              </w:rPr>
              <w:t>Connectivité multi-source, monitoring natif</w:t>
            </w:r>
          </w:p>
        </w:tc>
        <w:tc>
          <w:tcPr>
            <w:tcW w:w="2600" w:type="dxa"/>
          </w:tcPr>
          <w:p>
            <w:pPr>
              <w:spacing w:before="40" w:after="40"/>
              <w:jc w:val="left"/>
            </w:pPr>
            <w:r>
              <w:rPr>
                <w:color w:val="475569"/>
                <w:sz w:val="20"/>
              </w:rPr>
              <w:t>CI/CD, paramétrage, triggers event-based</w:t>
            </w:r>
          </w:p>
        </w:tc>
      </w:tr>
      <w:tr>
        <w:tc>
          <w:tcPr>
            <w:tcW w:w="2200" w:type="dxa"/>
          </w:tcPr>
          <w:p>
            <w:pPr>
              <w:spacing w:before="40" w:after="40"/>
              <w:jc w:val="left"/>
            </w:pPr>
            <w:r>
              <w:rPr>
                <w:color w:val="475569"/>
                <w:sz w:val="20"/>
              </w:rPr>
              <w:t>Databricks</w:t>
            </w:r>
          </w:p>
        </w:tc>
        <w:tc>
          <w:tcPr>
            <w:tcW w:w="2600" w:type="dxa"/>
          </w:tcPr>
          <w:p>
            <w:pPr>
              <w:spacing w:before="40" w:after="40"/>
              <w:jc w:val="left"/>
            </w:pPr>
            <w:r>
              <w:rPr>
                <w:color w:val="475569"/>
                <w:sz w:val="20"/>
              </w:rPr>
              <w:t>Moteur de transformation Spark</w:t>
            </w:r>
          </w:p>
        </w:tc>
        <w:tc>
          <w:tcPr>
            <w:tcW w:w="2600" w:type="dxa"/>
          </w:tcPr>
          <w:p>
            <w:pPr>
              <w:spacing w:before="40" w:after="40"/>
              <w:jc w:val="left"/>
            </w:pPr>
            <w:r>
              <w:rPr>
                <w:color w:val="475569"/>
                <w:sz w:val="20"/>
              </w:rPr>
              <w:t>Delta Lake, notebooks collaboratifs, autoscale</w:t>
            </w:r>
          </w:p>
        </w:tc>
        <w:tc>
          <w:tcPr>
            <w:tcW w:w="2600" w:type="dxa"/>
          </w:tcPr>
          <w:p>
            <w:pPr>
              <w:spacing w:before="40" w:after="40"/>
              <w:jc w:val="left"/>
            </w:pPr>
            <w:r>
              <w:rPr>
                <w:color w:val="475569"/>
                <w:sz w:val="20"/>
              </w:rPr>
              <w:t>Unity Catalog, SQL Warehouse, GIT integration</w:t>
            </w:r>
          </w:p>
        </w:tc>
      </w:tr>
      <w:tr>
        <w:tc>
          <w:tcPr>
            <w:tcW w:w="2200" w:type="dxa"/>
          </w:tcPr>
          <w:p>
            <w:pPr>
              <w:spacing w:before="40" w:after="40"/>
              <w:jc w:val="left"/>
            </w:pPr>
            <w:r>
              <w:rPr>
                <w:color w:val="475569"/>
                <w:sz w:val="20"/>
              </w:rPr>
              <w:t>Power BI</w:t>
            </w:r>
          </w:p>
        </w:tc>
        <w:tc>
          <w:tcPr>
            <w:tcW w:w="2600" w:type="dxa"/>
          </w:tcPr>
          <w:p>
            <w:pPr>
              <w:spacing w:before="40" w:after="40"/>
              <w:jc w:val="left"/>
            </w:pPr>
            <w:r>
              <w:rPr>
                <w:color w:val="475569"/>
                <w:sz w:val="20"/>
              </w:rPr>
              <w:t>Dashboard décisionnel</w:t>
            </w:r>
          </w:p>
        </w:tc>
        <w:tc>
          <w:tcPr>
            <w:tcW w:w="2600" w:type="dxa"/>
          </w:tcPr>
          <w:p>
            <w:pPr>
              <w:spacing w:before="40" w:after="40"/>
              <w:jc w:val="left"/>
            </w:pPr>
            <w:r>
              <w:rPr>
                <w:color w:val="475569"/>
                <w:sz w:val="20"/>
              </w:rPr>
              <w:t>Connecteurs natifs, modélisation DAX</w:t>
            </w:r>
          </w:p>
        </w:tc>
        <w:tc>
          <w:tcPr>
            <w:tcW w:w="2600" w:type="dxa"/>
          </w:tcPr>
          <w:p>
            <w:pPr>
              <w:spacing w:before="40" w:after="40"/>
              <w:jc w:val="left"/>
            </w:pPr>
            <w:r>
              <w:rPr>
                <w:color w:val="475569"/>
                <w:sz w:val="20"/>
              </w:rPr>
              <w:t>DirectQuery Delta, composite models</w:t>
            </w:r>
          </w:p>
        </w:tc>
      </w:tr>
    </w:tbl>
    <w:p>
      <w:pPr>
        <w:pStyle w:val="Caption"/>
      </w:pPr>
      <w:r>
        <w:t>Tableau 1 : Évaluation des services Azure du pipeline</w:t>
      </w:r>
    </w:p>
    <w:p>
      <w:pPr>
        <w:pStyle w:val="Heading1"/>
      </w:pPr>
      <w:r>
        <w:t>2. Revue du Pipeline d'Ingestion (Azure Data Factory)</w:t>
      </w:r>
      <w:bookmarkStart w:name="_Toc002" w:id="2"/>
      <w:bookmarkEnd w:id="2"/>
    </w:p>
    <w:p>
      <w:pPr>
        <w:pStyle w:val="Heading2"/>
      </w:pPr>
      <w:r>
        <w:t>Configuration des Linked Services</w:t>
      </w:r>
    </w:p>
    <w:p>
      <w:r>
        <w:t>La configuration des trois Linked Services — AzureDataLakeStorage1, AzureSqlDatabase1 et HttpServer1 — démontre une compréhension correcte des patterns de connectivité dans ADF. Le service ADLS Gen2, configuré avec l'authentification par clé de compte, assure la connectivité vers la destination Bronze. Le service Azure SQL Database établit la connexion vers les tables relationnelles sources (Products, Stores, Transactions). Le service HTTP (HttpServer1) permet l'accès à l'API JSON publique hébergée sur GitHub pour les données Customers. Cette configuration couvre de manière adéquate les trois paradigmes de connectivité requis : stockage cloud, base relationnelle et API REST.</w:t>
      </w:r>
    </w:p>
    <w:p>
      <w:r>
        <w:t>Toutefois, plusieurs vulnérabilités critiques doivent être soulignées. L'utilisation de l'authentification par clé de compte pour ADLS Gen2 (Account Key) constitue un anti-pattern sécuritaire majeur. Cette méthode accorde des privilèges complets sur l'intégralité du compte de stockage et expose le pipeline à un risque élevé en cas de fuite de la clé. En environnement de production, l'authentification via Managed Identity (système ou utilisateur) ou via Service Principal avec des permissions RBAC granulaires (rôle 'Storage Blob Data Contributor' limité au container concerné) est impérative. De même, pour la source SQL, l'authentification par mot de passe intégré au Linked Service (si c'est le cas) doit être remplacée par une authentification Azure AD ou un Service Principal avec secret stocké dans Azure Key Vault.</w:t>
      </w:r>
    </w:p>
    <w:p>
      <w:pPr>
        <w:pStyle w:val="Heading2"/>
      </w:pPr>
      <w:r>
        <w:t>Stratégie d'ingestion des sources hétérogènes</w:t>
      </w:r>
    </w:p>
    <w:p>
      <w:r>
        <w:t>Le pipeline pipeline1 orchestrant quatre Copy Activities en séquence représente une première itération fonctionnelle mais présente des limitations architecturales significatives. L'ingestion de sources hétérogènes — trois tables relationnelles SQL et une API REST JSON — vers un format unique (Parquet) dans la couche Bronze est une approche standard et judicieuse. Le choix du format Parquet comme format de landing est particulièrement pertinent : colonnaire, compressé, avec préservation du schéma et compatibilité native avec Spark, il représente le standard de fait pour les data lakes analytiques.</w:t>
      </w:r>
    </w:p>
    <w:p>
      <w:r>
        <w:t>Cependant, l'exécution séquentielle des quatre Copy Activities constitue un goulot d'étranglement évitable. Ces quatre opérations d'ingestion sont indépendantes entre elles — aucune dépendance fonctionnelle n'existe entre le chargement de Products, Stores, Transactions et Customers. L'exécution parallèle via des branches indépendantes (ou l'utilisation d'un ForEach si les patterns sont identiques) réduirait significativement le temps total d'ingestion. Par ailleurs, l'absence de mécanisme de gestion des erreurs (retry policy, redirect des lignes en échec, alertes) rend le pipeline fragile face aux indisponibilités temporaires des sources ou aux variations de schéma.</w:t>
      </w:r>
    </w:p>
    <w:p>
      <w:r>
        <w:t>L'ingestion depuis une API publique (GitHub) pour les données Customers introduit une dépendance externe non maîtrisée. En production, cette source devrait être soit miroirée dans une infrastructure interne, soit accompagnée d'un mécanisme de cache et de circuit-breaker pour éviter qu'une indisponibilité de GitHub ne bloque l'ensemble du pipeline. De plus, l'absence de watermark ou de mécanisme d'ingestion incrémentale (delta) signifie que chaque exécution recharge l'intégralité des données, ce qui deviendra prohibitif à mesure que les volumes croîtront.</w:t>
      </w:r>
    </w:p>
    <w:tbl>
      <w:tblPr>
        <w:tblW w:w="5000" w:type="pct"/>
        <w:tblBorders>
          <w:top w:val="single" w:color="2563EB" w:sz="12"/>
          <w:left w:val="nil"/>
          <w:bottom w:val="single" w:color="2563EB" w:sz="12"/>
          <w:right w:val="nil"/>
          <w:insideH w:val="single" w:color="cbd5e1" w:sz="4"/>
          <w:insideV w:val="nil"/>
        </w:tblBorders>
      </w:tblPr>
      <w:tblGrid>
        <w:gridCol w:w="2200"/>
        <w:gridCol w:w="2800"/>
        <w:gridCol w:w="5000"/>
      </w:tblGrid>
      <w:tr>
        <w:trPr>
          <w:tblHeader/>
        </w:trPr>
        <w:tc>
          <w:tcPr>
            <w:tcW w:w="2200" w:type="dxa"/>
            <w:shd w:val="clear" w:fill="f1f5f9"/>
          </w:tcPr>
          <w:p>
            <w:pPr>
              <w:spacing w:before="60" w:after="60"/>
              <w:jc w:val="left"/>
            </w:pPr>
            <w:r>
              <w:rPr>
                <w:b/>
                <w:color w:val="1e293b"/>
                <w:sz w:val="20"/>
              </w:rPr>
              <w:t>Copy Activity</w:t>
            </w:r>
          </w:p>
        </w:tc>
        <w:tc>
          <w:tcPr>
            <w:tcW w:w="2800" w:type="dxa"/>
            <w:shd w:val="clear" w:fill="f1f5f9"/>
          </w:tcPr>
          <w:p>
            <w:pPr>
              <w:spacing w:before="60" w:after="60"/>
              <w:jc w:val="left"/>
            </w:pPr>
            <w:r>
              <w:rPr>
                <w:b/>
                <w:color w:val="1e293b"/>
                <w:sz w:val="20"/>
              </w:rPr>
              <w:t>Source → Destination</w:t>
            </w:r>
          </w:p>
        </w:tc>
        <w:tc>
          <w:tcPr>
            <w:tcW w:w="5000" w:type="dxa"/>
            <w:shd w:val="clear" w:fill="f1f5f9"/>
          </w:tcPr>
          <w:p>
            <w:pPr>
              <w:spacing w:before="60" w:after="60"/>
              <w:jc w:val="left"/>
            </w:pPr>
            <w:r>
              <w:rPr>
                <w:b/>
                <w:color w:val="1e293b"/>
                <w:sz w:val="20"/>
              </w:rPr>
              <w:t>Recommandation</w:t>
            </w:r>
          </w:p>
        </w:tc>
      </w:tr>
      <w:tr>
        <w:tc>
          <w:tcPr>
            <w:tcW w:w="2200" w:type="dxa"/>
          </w:tcPr>
          <w:p>
            <w:pPr>
              <w:spacing w:before="40" w:after="40"/>
              <w:jc w:val="left"/>
            </w:pPr>
            <w:r>
              <w:rPr>
                <w:color w:val="475569"/>
                <w:sz w:val="20"/>
              </w:rPr>
              <w:t>Copy transaction</w:t>
            </w:r>
          </w:p>
        </w:tc>
        <w:tc>
          <w:tcPr>
            <w:tcW w:w="2800" w:type="dxa"/>
          </w:tcPr>
          <w:p>
            <w:pPr>
              <w:spacing w:before="40" w:after="40"/>
              <w:jc w:val="left"/>
            </w:pPr>
            <w:r>
              <w:rPr>
                <w:color w:val="475569"/>
                <w:sz w:val="20"/>
              </w:rPr>
              <w:t>SQL Transactions → Bronze</w:t>
            </w:r>
          </w:p>
        </w:tc>
        <w:tc>
          <w:tcPr>
            <w:tcW w:w="5000" w:type="dxa"/>
          </w:tcPr>
          <w:p>
            <w:pPr>
              <w:spacing w:before="40" w:after="40"/>
              <w:jc w:val="left"/>
            </w:pPr>
            <w:r>
              <w:rPr>
                <w:color w:val="475569"/>
                <w:sz w:val="20"/>
              </w:rPr>
              <w:t>Passer en parallèle avec les autres copies SQL; ajouter un watermark incrémental</w:t>
            </w:r>
          </w:p>
        </w:tc>
      </w:tr>
      <w:tr>
        <w:tc>
          <w:tcPr>
            <w:tcW w:w="2200" w:type="dxa"/>
          </w:tcPr>
          <w:p>
            <w:pPr>
              <w:spacing w:before="40" w:after="40"/>
              <w:jc w:val="left"/>
            </w:pPr>
            <w:r>
              <w:rPr>
                <w:color w:val="475569"/>
                <w:sz w:val="20"/>
              </w:rPr>
              <w:t>Copy store</w:t>
            </w:r>
          </w:p>
        </w:tc>
        <w:tc>
          <w:tcPr>
            <w:tcW w:w="2800" w:type="dxa"/>
          </w:tcPr>
          <w:p>
            <w:pPr>
              <w:spacing w:before="40" w:after="40"/>
              <w:jc w:val="left"/>
            </w:pPr>
            <w:r>
              <w:rPr>
                <w:color w:val="475569"/>
                <w:sz w:val="20"/>
              </w:rPr>
              <w:t>SQL Stores → Bronze</w:t>
            </w:r>
          </w:p>
        </w:tc>
        <w:tc>
          <w:tcPr>
            <w:tcW w:w="5000" w:type="dxa"/>
          </w:tcPr>
          <w:p>
            <w:pPr>
              <w:spacing w:before="40" w:after="40"/>
              <w:jc w:val="left"/>
            </w:pPr>
            <w:r>
              <w:rPr>
                <w:color w:val="475569"/>
                <w:sz w:val="20"/>
              </w:rPr>
              <w:t>Idem; privilégier MERGE si table de référence de faible volumétrie</w:t>
            </w:r>
          </w:p>
        </w:tc>
      </w:tr>
      <w:tr>
        <w:tc>
          <w:tcPr>
            <w:tcW w:w="2200" w:type="dxa"/>
          </w:tcPr>
          <w:p>
            <w:pPr>
              <w:spacing w:before="40" w:after="40"/>
              <w:jc w:val="left"/>
            </w:pPr>
            <w:r>
              <w:rPr>
                <w:color w:val="475569"/>
                <w:sz w:val="20"/>
              </w:rPr>
              <w:t>Copy product</w:t>
            </w:r>
          </w:p>
        </w:tc>
        <w:tc>
          <w:tcPr>
            <w:tcW w:w="2800" w:type="dxa"/>
          </w:tcPr>
          <w:p>
            <w:pPr>
              <w:spacing w:before="40" w:after="40"/>
              <w:jc w:val="left"/>
            </w:pPr>
            <w:r>
              <w:rPr>
                <w:color w:val="475569"/>
                <w:sz w:val="20"/>
              </w:rPr>
              <w:t>SQL Products → Bronze</w:t>
            </w:r>
          </w:p>
        </w:tc>
        <w:tc>
          <w:tcPr>
            <w:tcW w:w="5000" w:type="dxa"/>
          </w:tcPr>
          <w:p>
            <w:pPr>
              <w:spacing w:before="40" w:after="40"/>
              <w:jc w:val="left"/>
            </w:pPr>
            <w:r>
              <w:rPr>
                <w:color w:val="475569"/>
                <w:sz w:val="20"/>
              </w:rPr>
              <w:t>Idem; considérer SCD Type 2 pour historisation des prix</w:t>
            </w:r>
          </w:p>
        </w:tc>
      </w:tr>
      <w:tr>
        <w:tc>
          <w:tcPr>
            <w:tcW w:w="2200" w:type="dxa"/>
          </w:tcPr>
          <w:p>
            <w:pPr>
              <w:spacing w:before="40" w:after="40"/>
              <w:jc w:val="left"/>
            </w:pPr>
            <w:r>
              <w:rPr>
                <w:color w:val="475569"/>
                <w:sz w:val="20"/>
              </w:rPr>
              <w:t>Copy customers</w:t>
            </w:r>
          </w:p>
        </w:tc>
        <w:tc>
          <w:tcPr>
            <w:tcW w:w="2800" w:type="dxa"/>
          </w:tcPr>
          <w:p>
            <w:pPr>
              <w:spacing w:before="40" w:after="40"/>
              <w:jc w:val="left"/>
            </w:pPr>
            <w:r>
              <w:rPr>
                <w:color w:val="475569"/>
                <w:sz w:val="20"/>
              </w:rPr>
              <w:t>API JSON GitHub → Bronze</w:t>
            </w:r>
          </w:p>
        </w:tc>
        <w:tc>
          <w:tcPr>
            <w:tcW w:w="5000" w:type="dxa"/>
          </w:tcPr>
          <w:p>
            <w:pPr>
              <w:spacing w:before="40" w:after="40"/>
              <w:jc w:val="left"/>
            </w:pPr>
            <w:r>
              <w:rPr>
                <w:color w:val="475569"/>
                <w:sz w:val="20"/>
              </w:rPr>
              <w:t>Ajouter un mécanisme de circuit-breaker; miroiter la source en interne</w:t>
            </w:r>
          </w:p>
        </w:tc>
      </w:tr>
    </w:tbl>
    <w:p>
      <w:pPr>
        <w:pStyle w:val="Caption"/>
      </w:pPr>
      <w:r>
        <w:t>Tableau 2 : Détail des Copy Activities et recommandations</w:t>
      </w:r>
    </w:p>
    <w:p>
      <w:pPr>
        <w:pStyle w:val="Heading1"/>
      </w:pPr>
      <w:r>
        <w:t>3. Audit des Transformations (Databricks &amp; Spark)</w:t>
      </w:r>
      <w:bookmarkStart w:name="_Toc003" w:id="3"/>
      <w:bookmarkEnd w:id="3"/>
    </w:p>
    <w:p>
      <w:pPr>
        <w:pStyle w:val="Heading2"/>
      </w:pPr>
      <w:r>
        <w:t>Logique de nettoyage Silver</w:t>
      </w:r>
    </w:p>
    <w:p>
      <w:r>
        <w:t>La logique de transformation implémentée dans la couche Silver démontre une méthodologie rigoureuse et structurée. Le pipeline de nettoyage couvre l'ensemble des opérations fondamentales attendues : cast des types de données (identifiants en Integer, prix en Float, dates en DateType), suppression des doublons sur les clés primaires, filtrage des valeurs nulles sur les colonnes critiques, validation des contraintes métier (quantity &gt; 0), et normalisation des champs textuels (trim et lower sur les emails). Cette séquence respecte l'ordre optimal de traitement — typage strict avant enrichissement, déduplication avant jointure — qui minimise la consommation de ressources et garantit l'intégrité référentielle.</w:t>
      </w:r>
    </w:p>
    <w:p>
      <w:r>
        <w:t>La séquence de jointures adoptée — Transactions en table facte à laquelle sont successivement jointes Products, Stores puis Customers via des left joins — est architecturalement correcte. Ce pattern préserve l'intégralité des transactions même en cas d'absence de correspondance dans les dimensions (produit ou magasin supprimé, client inconnu), ce qui est essentiel pour un reporting financier. Le calcul du montant total (total_amount = quantity × price, arrondi à deux décimales) positionné après les jointures permet d'utiliser le prix catalogue issu de la dimension Products, garantissant ainsi la cohérence tarifaire. Cette approche est préférable au stockage du prix dans la table transactionnelle qui aurait figé les données historiques sans possibilité de retraitement.</w:t>
      </w:r>
    </w:p>
    <w:p>
      <w:r>
        <w:t>Le choix du format Delta pour la persistance de la couche Silver est particulièrement judicieux. En s'appuyant sur Parquet avec transactions ACID, le format Delta permet le time-travel, le merge incrémental (upsert), et la gestion concurrentielle des écritures. Ces capacités transforment significativement le data lake traditionnel en une plateforme de données transactionnelle de type Lakehouse. Le stockage dans une structure partitionnée (même si implicite via le chemin silver/sales_silver/) prépare également l'avenir pour l'optimisation des requêtes par partition pruning.</w:t>
      </w:r>
    </w:p>
    <w:p>
      <w:pPr>
        <w:pStyle w:val="Heading2"/>
      </w:pPr>
      <w:r>
        <w:t>Authentification et sécurité d'accès au Data Lake</w:t>
      </w:r>
    </w:p>
    <w:p>
      <w:r>
        <w:t>Le point le plus critique et inacceptable en production concerne l'authentification pour l'accès au Data Lake depuis Databricks Community Edition. Le passage direct de la clé d'accès Azure (storage account key) en option Spark sur chaque opération de lecture/écriture représente une faille de sécurité majeure qui viole les principes fondamentaux de sécurité cloud. Cette exposition explicite des credentials sensibles dans le code des notebooks — potentiellement versionné dans des dépôts Git — crée une surface d'attaque considérable et rend impossible toute auditabilité des accès.</w:t>
      </w:r>
    </w:p>
    <w:p>
      <w:r>
        <w:t>Plusieurs architectures d'authentification standard doivent être impérativement adoptées pour un déploiement en production. La solution recommandée de premier ordre consiste en l'utilisation des Azure Managed Identities : une User-Assigned Managed Identity attribuée au workspace Databricks, à laquelle est accordé le rôle RBAC 'Storage Blob Data Contributor' sur le compte ADLS Gen2. Cette approche élimine totalement la gestion des secrets — aucune clé n'est stockée ni transmise — et les credentials sont gérés automatiquement par Azure AD. L'accès au stockage s'effectue alors nativement via le protocole abfss:// sans configuration supplémentaire d'options Spark.</w:t>
      </w:r>
    </w:p>
    <w:p>
      <w:r>
        <w:t>En alternative, si les Managed Identities ne sont pas disponibles (contraintes d'ancienne génération ou multi-cloud), l'authentification via Service Principal avec Client Secret stocké dans Azure Key Vault et référencé via le secrets-backed scope de Databricks constitue une solution acceptable. Le secret est alors jamais exposé dans le code source mais récupéré dynamiquement via la commande dbutils.secrets.get(). Cette approche centralise la rotation des secrets et permet une révocation immédiate en cas de compromission. Une troisième option, le SAS (Shared Access Signature) token à durée limitée et scoped à un seul container, peut être envisagée pour des scénarios d'accès temporaire ou inter-organisationnel.</w:t>
      </w:r>
    </w:p>
    <w:tbl>
      <w:tblPr>
        <w:tblW w:w="5000" w:type="pct"/>
        <w:tblBorders>
          <w:top w:val="single" w:color="2563EB" w:sz="12"/>
          <w:left w:val="nil"/>
          <w:bottom w:val="single" w:color="2563EB" w:sz="12"/>
          <w:right w:val="nil"/>
          <w:insideH w:val="single" w:color="cbd5e1" w:sz="4"/>
          <w:insideV w:val="nil"/>
        </w:tblBorders>
      </w:tblPr>
      <w:tblGrid>
        <w:gridCol w:w="2200"/>
        <w:gridCol w:w="1800"/>
        <w:gridCol w:w="2600"/>
        <w:gridCol w:w="3400"/>
      </w:tblGrid>
      <w:tr>
        <w:trPr>
          <w:tblHeader/>
        </w:trPr>
        <w:tc>
          <w:tcPr>
            <w:tcW w:w="2200" w:type="dxa"/>
            <w:shd w:val="clear" w:fill="f1f5f9"/>
          </w:tcPr>
          <w:p>
            <w:pPr>
              <w:spacing w:before="60" w:after="60"/>
              <w:jc w:val="left"/>
            </w:pPr>
            <w:r>
              <w:rPr>
                <w:b/>
                <w:color w:val="1e293b"/>
                <w:sz w:val="20"/>
              </w:rPr>
              <w:t>Méthode d'auth.</w:t>
            </w:r>
          </w:p>
        </w:tc>
        <w:tc>
          <w:tcPr>
            <w:tcW w:w="1800" w:type="dxa"/>
            <w:shd w:val="clear" w:fill="f1f5f9"/>
          </w:tcPr>
          <w:p>
            <w:pPr>
              <w:spacing w:before="60" w:after="60"/>
              <w:jc w:val="left"/>
            </w:pPr>
            <w:r>
              <w:rPr>
                <w:b/>
                <w:color w:val="1e293b"/>
                <w:sz w:val="20"/>
              </w:rPr>
              <w:t>Niveau sécurité</w:t>
            </w:r>
          </w:p>
        </w:tc>
        <w:tc>
          <w:tcPr>
            <w:tcW w:w="2600" w:type="dxa"/>
            <w:shd w:val="clear" w:fill="f1f5f9"/>
          </w:tcPr>
          <w:p>
            <w:pPr>
              <w:spacing w:before="60" w:after="60"/>
              <w:jc w:val="left"/>
            </w:pPr>
            <w:r>
              <w:rPr>
                <w:b/>
                <w:color w:val="1e293b"/>
                <w:sz w:val="20"/>
              </w:rPr>
              <w:t>Complexité</w:t>
            </w:r>
          </w:p>
        </w:tc>
        <w:tc>
          <w:tcPr>
            <w:tcW w:w="3400" w:type="dxa"/>
            <w:shd w:val="clear" w:fill="f1f5f9"/>
          </w:tcPr>
          <w:p>
            <w:pPr>
              <w:spacing w:before="60" w:after="60"/>
              <w:jc w:val="left"/>
            </w:pPr>
            <w:r>
              <w:rPr>
                <w:b/>
                <w:color w:val="1e293b"/>
                <w:sz w:val="20"/>
              </w:rPr>
              <w:t>Cas d'usage recommandé</w:t>
            </w:r>
          </w:p>
        </w:tc>
      </w:tr>
      <w:tr>
        <w:tc>
          <w:tcPr>
            <w:tcW w:w="2200" w:type="dxa"/>
          </w:tcPr>
          <w:p>
            <w:pPr>
              <w:spacing w:before="40" w:after="40"/>
              <w:jc w:val="left"/>
            </w:pPr>
            <w:r>
              <w:rPr>
                <w:color w:val="475569"/>
                <w:sz w:val="20"/>
              </w:rPr>
              <w:t>Clé de compte (actuel)</w:t>
            </w:r>
          </w:p>
        </w:tc>
        <w:tc>
          <w:tcPr>
            <w:tcW w:w="1800" w:type="dxa"/>
          </w:tcPr>
          <w:p>
            <w:pPr>
              <w:spacing w:before="40" w:after="40"/>
              <w:jc w:val="left"/>
            </w:pPr>
            <w:r>
              <w:rPr>
                <w:color w:val="475569"/>
                <w:sz w:val="20"/>
              </w:rPr>
              <w:t>Critique</w:t>
            </w:r>
          </w:p>
        </w:tc>
        <w:tc>
          <w:tcPr>
            <w:tcW w:w="2600" w:type="dxa"/>
          </w:tcPr>
          <w:p>
            <w:pPr>
              <w:spacing w:before="40" w:after="40"/>
              <w:jc w:val="left"/>
            </w:pPr>
            <w:r>
              <w:rPr>
                <w:color w:val="475569"/>
                <w:sz w:val="20"/>
              </w:rPr>
              <w:t>Très faible</w:t>
            </w:r>
          </w:p>
        </w:tc>
        <w:tc>
          <w:tcPr>
            <w:tcW w:w="3400" w:type="dxa"/>
          </w:tcPr>
          <w:p>
            <w:pPr>
              <w:spacing w:before="40" w:after="40"/>
              <w:jc w:val="left"/>
            </w:pPr>
            <w:r>
              <w:rPr>
                <w:color w:val="475569"/>
                <w:sz w:val="20"/>
              </w:rPr>
              <w:t>Développement local uniquement — À PROSCRIRE en production</w:t>
            </w:r>
          </w:p>
        </w:tc>
      </w:tr>
      <w:tr>
        <w:tc>
          <w:tcPr>
            <w:tcW w:w="2200" w:type="dxa"/>
          </w:tcPr>
          <w:p>
            <w:pPr>
              <w:spacing w:before="40" w:after="40"/>
              <w:jc w:val="left"/>
            </w:pPr>
            <w:r>
              <w:rPr>
                <w:color w:val="475569"/>
                <w:sz w:val="20"/>
              </w:rPr>
              <w:t>Managed Identity</w:t>
            </w:r>
          </w:p>
        </w:tc>
        <w:tc>
          <w:tcPr>
            <w:tcW w:w="1800" w:type="dxa"/>
          </w:tcPr>
          <w:p>
            <w:pPr>
              <w:spacing w:before="40" w:after="40"/>
              <w:jc w:val="left"/>
            </w:pPr>
            <w:r>
              <w:rPr>
                <w:color w:val="475569"/>
                <w:sz w:val="20"/>
              </w:rPr>
              <w:t>Élevé</w:t>
            </w:r>
          </w:p>
        </w:tc>
        <w:tc>
          <w:tcPr>
            <w:tcW w:w="2600" w:type="dxa"/>
          </w:tcPr>
          <w:p>
            <w:pPr>
              <w:spacing w:before="40" w:after="40"/>
              <w:jc w:val="left"/>
            </w:pPr>
            <w:r>
              <w:rPr>
                <w:color w:val="475569"/>
                <w:sz w:val="20"/>
              </w:rPr>
              <w:t>Faible</w:t>
            </w:r>
          </w:p>
        </w:tc>
        <w:tc>
          <w:tcPr>
            <w:tcW w:w="3400" w:type="dxa"/>
          </w:tcPr>
          <w:p>
            <w:pPr>
              <w:spacing w:before="40" w:after="40"/>
              <w:jc w:val="left"/>
            </w:pPr>
            <w:r>
              <w:rPr>
                <w:color w:val="475569"/>
                <w:sz w:val="20"/>
              </w:rPr>
              <w:t>Solution privilégiée pour tous les services Azure PaaS</w:t>
            </w:r>
          </w:p>
        </w:tc>
      </w:tr>
      <w:tr>
        <w:tc>
          <w:tcPr>
            <w:tcW w:w="2200" w:type="dxa"/>
          </w:tcPr>
          <w:p>
            <w:pPr>
              <w:spacing w:before="40" w:after="40"/>
              <w:jc w:val="left"/>
            </w:pPr>
            <w:r>
              <w:rPr>
                <w:color w:val="475569"/>
                <w:sz w:val="20"/>
              </w:rPr>
              <w:t>Service Principal + Key Vault</w:t>
            </w:r>
          </w:p>
        </w:tc>
        <w:tc>
          <w:tcPr>
            <w:tcW w:w="1800" w:type="dxa"/>
          </w:tcPr>
          <w:p>
            <w:pPr>
              <w:spacing w:before="40" w:after="40"/>
              <w:jc w:val="left"/>
            </w:pPr>
            <w:r>
              <w:rPr>
                <w:color w:val="475569"/>
                <w:sz w:val="20"/>
              </w:rPr>
              <w:t>Élevé</w:t>
            </w:r>
          </w:p>
        </w:tc>
        <w:tc>
          <w:tcPr>
            <w:tcW w:w="2600" w:type="dxa"/>
          </w:tcPr>
          <w:p>
            <w:pPr>
              <w:spacing w:before="40" w:after="40"/>
              <w:jc w:val="left"/>
            </w:pPr>
            <w:r>
              <w:rPr>
                <w:color w:val="475569"/>
                <w:sz w:val="20"/>
              </w:rPr>
              <w:t>Modérée</w:t>
            </w:r>
          </w:p>
        </w:tc>
        <w:tc>
          <w:tcPr>
            <w:tcW w:w="3400" w:type="dxa"/>
          </w:tcPr>
          <w:p>
            <w:pPr>
              <w:spacing w:before="40" w:after="40"/>
              <w:jc w:val="left"/>
            </w:pPr>
            <w:r>
              <w:rPr>
                <w:color w:val="475569"/>
                <w:sz w:val="20"/>
              </w:rPr>
              <w:t>Inter-service, accès programmatiques, environnements hybrides</w:t>
            </w:r>
          </w:p>
        </w:tc>
      </w:tr>
      <w:tr>
        <w:tc>
          <w:tcPr>
            <w:tcW w:w="2200" w:type="dxa"/>
          </w:tcPr>
          <w:p>
            <w:pPr>
              <w:spacing w:before="40" w:after="40"/>
              <w:jc w:val="left"/>
            </w:pPr>
            <w:r>
              <w:rPr>
                <w:color w:val="475569"/>
                <w:sz w:val="20"/>
              </w:rPr>
              <w:t>SAS Token (durée limitée)</w:t>
            </w:r>
          </w:p>
        </w:tc>
        <w:tc>
          <w:tcPr>
            <w:tcW w:w="1800" w:type="dxa"/>
          </w:tcPr>
          <w:p>
            <w:pPr>
              <w:spacing w:before="40" w:after="40"/>
              <w:jc w:val="left"/>
            </w:pPr>
            <w:r>
              <w:rPr>
                <w:color w:val="475569"/>
                <w:sz w:val="20"/>
              </w:rPr>
              <w:t>Modéré</w:t>
            </w:r>
          </w:p>
        </w:tc>
        <w:tc>
          <w:tcPr>
            <w:tcW w:w="2600" w:type="dxa"/>
          </w:tcPr>
          <w:p>
            <w:pPr>
              <w:spacing w:before="40" w:after="40"/>
              <w:jc w:val="left"/>
            </w:pPr>
            <w:r>
              <w:rPr>
                <w:color w:val="475569"/>
                <w:sz w:val="20"/>
              </w:rPr>
              <w:t>Faible</w:t>
            </w:r>
          </w:p>
        </w:tc>
        <w:tc>
          <w:tcPr>
            <w:tcW w:w="3400" w:type="dxa"/>
          </w:tcPr>
          <w:p>
            <w:pPr>
              <w:spacing w:before="40" w:after="40"/>
              <w:jc w:val="left"/>
            </w:pPr>
            <w:r>
              <w:rPr>
                <w:color w:val="475569"/>
                <w:sz w:val="20"/>
              </w:rPr>
              <w:t>Accès temporaire, partage inter-organisationnel, scénarios Burst</w:t>
            </w:r>
          </w:p>
        </w:tc>
      </w:tr>
      <w:tr>
        <w:tc>
          <w:tcPr>
            <w:tcW w:w="2200" w:type="dxa"/>
          </w:tcPr>
          <w:p>
            <w:pPr>
              <w:spacing w:before="40" w:after="40"/>
              <w:jc w:val="left"/>
            </w:pPr>
            <w:r>
              <w:rPr>
                <w:color w:val="475569"/>
                <w:sz w:val="20"/>
              </w:rPr>
              <w:t>Azure AD Credential Passthrough</w:t>
            </w:r>
          </w:p>
        </w:tc>
        <w:tc>
          <w:tcPr>
            <w:tcW w:w="1800" w:type="dxa"/>
          </w:tcPr>
          <w:p>
            <w:pPr>
              <w:spacing w:before="40" w:after="40"/>
              <w:jc w:val="left"/>
            </w:pPr>
            <w:r>
              <w:rPr>
                <w:color w:val="475569"/>
                <w:sz w:val="20"/>
              </w:rPr>
              <w:t>Élevé</w:t>
            </w:r>
          </w:p>
        </w:tc>
        <w:tc>
          <w:tcPr>
            <w:tcW w:w="2600" w:type="dxa"/>
          </w:tcPr>
          <w:p>
            <w:pPr>
              <w:spacing w:before="40" w:after="40"/>
              <w:jc w:val="left"/>
            </w:pPr>
            <w:r>
              <w:rPr>
                <w:color w:val="475569"/>
                <w:sz w:val="20"/>
              </w:rPr>
              <w:t>Faible</w:t>
            </w:r>
          </w:p>
        </w:tc>
        <w:tc>
          <w:tcPr>
            <w:tcW w:w="3400" w:type="dxa"/>
          </w:tcPr>
          <w:p>
            <w:pPr>
              <w:spacing w:before="40" w:after="40"/>
              <w:jc w:val="left"/>
            </w:pPr>
            <w:r>
              <w:rPr>
                <w:color w:val="475569"/>
                <w:sz w:val="20"/>
              </w:rPr>
              <w:t>Scénarios interactifs, sécurité au niveau ligne (RLS)</w:t>
            </w:r>
          </w:p>
        </w:tc>
      </w:tr>
    </w:tbl>
    <w:p>
      <w:pPr>
        <w:pStyle w:val="Caption"/>
      </w:pPr>
      <w:r>
        <w:t>Tableau 3 : Comparaison des stratégies d'authentification pour ADLS Gen2</w:t>
      </w:r>
    </w:p>
    <w:p>
      <w:pPr>
        <w:pStyle w:val="Heading1"/>
      </w:pPr>
      <w:r>
        <w:t>4. Évaluation de la Modélisation Métier (Gold Layer)</w:t>
      </w:r>
      <w:bookmarkStart w:name="_Toc004" w:id="4"/>
      <w:bookmarkEnd w:id="4"/>
    </w:p>
    <w:p>
      <w:pPr>
        <w:pStyle w:val="Heading2"/>
      </w:pPr>
      <w:r>
        <w:t>Pertinence des KPIs calculés</w:t>
      </w:r>
    </w:p>
    <w:p>
      <w:r>
        <w:t>La modélisation de la couche Gold démontre une compréhension fine des besoins analytiques métier du secteur retail. Les quatre indicateurs clés calculés à partir du champ total_amount — Chiffre d'Affaires (CA), quantité vendue, nombre de transactions et valeur moyenne par transaction — couvrent l'essentiel du tableau de bord décisionnel pour une direction commerciale. L'agrégation selon trois axes d'analyse complémentaires (produit/catégorie, date de transaction, magasin/localisation) offre une vision à 360 degrés de la performance commerciale et permet des analyses croisées riches (quels produits performant dans quels magasins, évolution temporelle par région, etc.).</w:t>
      </w:r>
    </w:p>
    <w:p>
      <w:r>
        <w:t>Le choix d'agréger à partir de la granularité transactionnelle de la couche Silver plutôt que de pré-calculer des cubes fixes est architecturalement pertinent. Cette approche maintient la flexibilité pour ajouter de nouveaux axes d'analyse (par exemple par tranche horaire, par segment client, par canal de vente) sans restructuration lourde. Le calcul du CA par produit permet d'identifier les tops et flops commerciaux, la quantité vendue informe sur la rotation des stocks, le nombre de transactions reflète l'activité point de vente, et la valeur moyenne par transaction (panier moyen) constitue un levier stratégique pour les campagnes de upsell et de cross-sell.</w:t>
      </w:r>
    </w:p>
    <w:p>
      <w:r>
        <w:t>Néanmoins, plusieurs enrichissements métier pourraient être envisagés pour accroître la valeur analytique. L'ajout d'indicateurs de comparaison (YoY, MoM, variation versus budget) transformerait le reporting descriptif en analyse diagnostique. Le calcul de métriques avancées comme le taux de pénétration par produit (nombre de magasins vendant le produit / nombre total de magasins), le classement ABC par contribution au CA, ou les indicateurs de cohorte client (nouveaux vs récurrents) apporterait une profondeur analytique significative. De même, l'intégration de dimensions temporelles enrichies (semaine, mois, trimestre, année fiscale, indicateur de jour ouvré) faciliterait les analyses comparatives standard en retail.</w:t>
      </w:r>
    </w:p>
    <w:p>
      <w:pPr>
        <w:pStyle w:val="Heading2"/>
      </w:pPr>
      <w:r>
        <w:t>Stratégie de sortie Delta + CSV</w:t>
      </w:r>
    </w:p>
    <w:p>
      <w:r>
        <w:t>La stratégie de sortie double — sauvegarde au format Delta pour l'historisation et l'auditabilité, combinée à un export CSV pour l'alimentation du dashboard Power BI — adopte un compromis pragmatique dicté par les contraintes de l'environnement Databricks Community Edition. Le format Delta assure la pérennité des données agrégées avec la capacité de time-travel et de versioning, tandis que le CSV offre l'interopérabilité immédiate avec Power BI sans nécessiter de connecteur DirectQuery ou de gateway complexe.</w:t>
      </w:r>
    </w:p>
    <w:p>
      <w:r>
        <w:t>Cependant, l'export CSV présente des limitations significatives pour une architecture de production. Le CSV est un format dépourvu de schéma, sensible aux caractères spéciaux, non compressé, et incapable de porter les métadonnées de type. Pour un pipeline de données moderne, l'interfaçage direct entre Databricks et Power BI via le connecteur natif Delta Lake (lecture directe des fichiers Delta par Power BI) ou via un endpoint SQL Warehouse Databricks représenterait une approche plus robuste et plus performante. Ces connecteurs natifs préservent les types de données, exploitent la compression et le predicate pushdown, et éliminent l'étape intermédiaire d'export fragile.</w:t>
      </w:r>
    </w:p>
    <w:p>
      <w:r>
        <w:t>Dans l'attente de cette modernisation, plusieurs améliorations pourraient être apportées à l'export CSV : utilisation du format CSV avec en-tête de schéma, sélection explicite du jeu de caractères UTF-8 avec BOM pour la gestion des accents, encapsulation systématique des champs texte entre guillemets doubles, et ajout d'une colonne de timestamp d'export pour la traçabilité. La génération de fichiers partitionnés (par exemple un fichier CSV par mois et par magasin) faciliterait également le chargement incrémental côté Power BI et améliorerait les performances de rafraîchissement du dataset.</w:t>
      </w:r>
    </w:p>
    <w:tbl>
      <w:tblPr>
        <w:tblW w:w="5000" w:type="pct"/>
        <w:tblBorders>
          <w:top w:val="single" w:color="2563EB" w:sz="12"/>
          <w:left w:val="nil"/>
          <w:bottom w:val="single" w:color="2563EB" w:sz="12"/>
          <w:right w:val="nil"/>
          <w:insideH w:val="single" w:color="cbd5e1" w:sz="4"/>
          <w:insideV w:val="nil"/>
        </w:tblBorders>
      </w:tblPr>
      <w:tblGrid>
        <w:gridCol w:w="2800"/>
        <w:gridCol w:w="2600"/>
        <w:gridCol w:w="2600"/>
        <w:gridCol w:w="2000"/>
      </w:tblGrid>
      <w:tr>
        <w:trPr>
          <w:tblHeader/>
        </w:trPr>
        <w:tc>
          <w:tcPr>
            <w:tcW w:w="2800" w:type="dxa"/>
            <w:shd w:val="clear" w:fill="f1f5f9"/>
          </w:tcPr>
          <w:p>
            <w:pPr>
              <w:spacing w:before="60" w:after="60"/>
              <w:jc w:val="left"/>
            </w:pPr>
            <w:r>
              <w:rPr>
                <w:b/>
                <w:color w:val="1e293b"/>
                <w:sz w:val="20"/>
              </w:rPr>
              <w:t>Table Gold</w:t>
            </w:r>
          </w:p>
        </w:tc>
        <w:tc>
          <w:tcPr>
            <w:tcW w:w="2600" w:type="dxa"/>
            <w:shd w:val="clear" w:fill="f1f5f9"/>
          </w:tcPr>
          <w:p>
            <w:pPr>
              <w:spacing w:before="60" w:after="60"/>
              <w:jc w:val="left"/>
            </w:pPr>
            <w:r>
              <w:rPr>
                <w:b/>
                <w:color w:val="1e293b"/>
                <w:sz w:val="20"/>
              </w:rPr>
              <w:t>Axes d'agrégation</w:t>
            </w:r>
          </w:p>
        </w:tc>
        <w:tc>
          <w:tcPr>
            <w:tcW w:w="2600" w:type="dxa"/>
            <w:shd w:val="clear" w:fill="f1f5f9"/>
          </w:tcPr>
          <w:p>
            <w:pPr>
              <w:spacing w:before="60" w:after="60"/>
              <w:jc w:val="left"/>
            </w:pPr>
            <w:r>
              <w:rPr>
                <w:b/>
                <w:color w:val="1e293b"/>
                <w:sz w:val="20"/>
              </w:rPr>
              <w:t>KPIs calculés</w:t>
            </w:r>
          </w:p>
        </w:tc>
        <w:tc>
          <w:tcPr>
            <w:tcW w:w="2000" w:type="dxa"/>
            <w:shd w:val="clear" w:fill="f1f5f9"/>
          </w:tcPr>
          <w:p>
            <w:pPr>
              <w:spacing w:before="60" w:after="60"/>
              <w:jc w:val="left"/>
            </w:pPr>
            <w:r>
              <w:rPr>
                <w:b/>
                <w:color w:val="1e293b"/>
                <w:sz w:val="20"/>
              </w:rPr>
              <w:t>Usage</w:t>
            </w:r>
          </w:p>
        </w:tc>
      </w:tr>
      <w:tr>
        <w:tc>
          <w:tcPr>
            <w:tcW w:w="2800" w:type="dxa"/>
          </w:tcPr>
          <w:p>
            <w:pPr>
              <w:spacing w:before="40" w:after="40"/>
              <w:jc w:val="left"/>
            </w:pPr>
            <w:r>
              <w:rPr>
                <w:color w:val="475569"/>
                <w:sz w:val="20"/>
              </w:rPr>
              <w:t>sales_by_product</w:t>
            </w:r>
          </w:p>
        </w:tc>
        <w:tc>
          <w:tcPr>
            <w:tcW w:w="2600" w:type="dxa"/>
          </w:tcPr>
          <w:p>
            <w:pPr>
              <w:spacing w:before="40" w:after="40"/>
              <w:jc w:val="left"/>
            </w:pPr>
            <w:r>
              <w:rPr>
                <w:color w:val="475569"/>
                <w:sz w:val="20"/>
              </w:rPr>
              <w:t>product_id, category</w:t>
            </w:r>
          </w:p>
        </w:tc>
        <w:tc>
          <w:tcPr>
            <w:tcW w:w="2600" w:type="dxa"/>
          </w:tcPr>
          <w:p>
            <w:pPr>
              <w:spacing w:before="40" w:after="40"/>
              <w:jc w:val="left"/>
            </w:pPr>
            <w:r>
              <w:rPr>
                <w:color w:val="475569"/>
                <w:sz w:val="20"/>
              </w:rPr>
              <w:t>CA, Qté, Nb trans., Panier moyen</w:t>
            </w:r>
          </w:p>
        </w:tc>
        <w:tc>
          <w:tcPr>
            <w:tcW w:w="2000" w:type="dxa"/>
          </w:tcPr>
          <w:p>
            <w:pPr>
              <w:spacing w:before="40" w:after="40"/>
              <w:jc w:val="left"/>
            </w:pPr>
            <w:r>
              <w:rPr>
                <w:color w:val="475569"/>
                <w:sz w:val="20"/>
              </w:rPr>
              <w:t>Analyse par produit et catégorie</w:t>
            </w:r>
          </w:p>
        </w:tc>
      </w:tr>
      <w:tr>
        <w:tc>
          <w:tcPr>
            <w:tcW w:w="2800" w:type="dxa"/>
          </w:tcPr>
          <w:p>
            <w:pPr>
              <w:spacing w:before="40" w:after="40"/>
              <w:jc w:val="left"/>
            </w:pPr>
            <w:r>
              <w:rPr>
                <w:color w:val="475569"/>
                <w:sz w:val="20"/>
              </w:rPr>
              <w:t>sales_by_date</w:t>
            </w:r>
          </w:p>
        </w:tc>
        <w:tc>
          <w:tcPr>
            <w:tcW w:w="2600" w:type="dxa"/>
          </w:tcPr>
          <w:p>
            <w:pPr>
              <w:spacing w:before="40" w:after="40"/>
              <w:jc w:val="left"/>
            </w:pPr>
            <w:r>
              <w:rPr>
                <w:color w:val="475569"/>
                <w:sz w:val="20"/>
              </w:rPr>
              <w:t>transaction_date</w:t>
            </w:r>
          </w:p>
        </w:tc>
        <w:tc>
          <w:tcPr>
            <w:tcW w:w="2600" w:type="dxa"/>
          </w:tcPr>
          <w:p>
            <w:pPr>
              <w:spacing w:before="40" w:after="40"/>
              <w:jc w:val="left"/>
            </w:pPr>
            <w:r>
              <w:rPr>
                <w:color w:val="475569"/>
                <w:sz w:val="20"/>
              </w:rPr>
              <w:t>CA, Qté, Nb trans., Panier moyen</w:t>
            </w:r>
          </w:p>
        </w:tc>
        <w:tc>
          <w:tcPr>
            <w:tcW w:w="2000" w:type="dxa"/>
          </w:tcPr>
          <w:p>
            <w:pPr>
              <w:spacing w:before="40" w:after="40"/>
              <w:jc w:val="left"/>
            </w:pPr>
            <w:r>
              <w:rPr>
                <w:color w:val="475569"/>
                <w:sz w:val="20"/>
              </w:rPr>
              <w:t>Suivi temporel et tendances</w:t>
            </w:r>
          </w:p>
        </w:tc>
      </w:tr>
      <w:tr>
        <w:tc>
          <w:tcPr>
            <w:tcW w:w="2800" w:type="dxa"/>
          </w:tcPr>
          <w:p>
            <w:pPr>
              <w:spacing w:before="40" w:after="40"/>
              <w:jc w:val="left"/>
            </w:pPr>
            <w:r>
              <w:rPr>
                <w:color w:val="475569"/>
                <w:sz w:val="20"/>
              </w:rPr>
              <w:t>sales_by_store</w:t>
            </w:r>
          </w:p>
        </w:tc>
        <w:tc>
          <w:tcPr>
            <w:tcW w:w="2600" w:type="dxa"/>
          </w:tcPr>
          <w:p>
            <w:pPr>
              <w:spacing w:before="40" w:after="40"/>
              <w:jc w:val="left"/>
            </w:pPr>
            <w:r>
              <w:rPr>
                <w:color w:val="475569"/>
                <w:sz w:val="20"/>
              </w:rPr>
              <w:t>store_id, location</w:t>
            </w:r>
          </w:p>
        </w:tc>
        <w:tc>
          <w:tcPr>
            <w:tcW w:w="2600" w:type="dxa"/>
          </w:tcPr>
          <w:p>
            <w:pPr>
              <w:spacing w:before="40" w:after="40"/>
              <w:jc w:val="left"/>
            </w:pPr>
            <w:r>
              <w:rPr>
                <w:color w:val="475569"/>
                <w:sz w:val="20"/>
              </w:rPr>
              <w:t>CA, Qté, Nb trans., Panier moyen</w:t>
            </w:r>
          </w:p>
        </w:tc>
        <w:tc>
          <w:tcPr>
            <w:tcW w:w="2000" w:type="dxa"/>
          </w:tcPr>
          <w:p>
            <w:pPr>
              <w:spacing w:before="40" w:after="40"/>
              <w:jc w:val="left"/>
            </w:pPr>
            <w:r>
              <w:rPr>
                <w:color w:val="475569"/>
                <w:sz w:val="20"/>
              </w:rPr>
              <w:t>Performance par point de vente</w:t>
            </w:r>
          </w:p>
        </w:tc>
      </w:tr>
    </w:tbl>
    <w:p>
      <w:pPr>
        <w:pStyle w:val="Caption"/>
      </w:pPr>
      <w:r>
        <w:t>Tableau 4 : Indicateurs Gold et axes d'analyse</w:t>
      </w:r>
    </w:p>
    <w:p>
      <w:pPr>
        <w:pStyle w:val="Heading1"/>
      </w:pPr>
      <w:r>
        <w:t>5. Bilan et Recommandations d'Industrialisation</w:t>
      </w:r>
      <w:bookmarkStart w:name="_Toc005" w:id="5"/>
      <w:bookmarkEnd w:id="5"/>
    </w:p>
    <w:p>
      <w:pPr>
        <w:pStyle w:val="Heading2"/>
      </w:pPr>
      <w:r>
        <w:t>Limites techniques identifiées</w:t>
      </w:r>
    </w:p>
    <w:p>
      <w:r>
        <w:t>L'analyse approfondie de ce pipeline révèle plusieurs contraintes techniques qui limitent sa capacité à évoluer vers un environnement de production enterprise-grade. La contrainte la plus impactante est l'utilisation de Databricks Community Edition, qui se limite à un cluster mono-noeud avec des ressources CPU et mémoire restreintes. Cette limitation empêche le traitement distribué réel des données — le cœur de valeur de Spark — et crée un plafond de performance rigide. Le cluster mono-noeud ne permet pas le parallélisme des tâches, la tolérance aux pannes, ni le scaling automatique en fonction de la charge. De plus, l'absence de connectivité réseau privée et l'impossibilité de configurer des secrets sécurisés (spark.conf.set indisponible) rendent toute architecture de sécurité enterprise impossible à mettre en œuvre.</w:t>
      </w:r>
    </w:p>
    <w:p>
      <w:r>
        <w:t>Au-delà de la contrainte Community Edition, d'autres limitations structurelles affectent la robustesse opérationnelle du pipeline. L'absence de gestion des schémas (schema evolution, schema validation, schema registry) expose le pipeline aux ruptures en cas de modification des sources. L'ingestion full-load systématique, bien que fonctionnelle à petite échelle, deviendra insoutenable avec la croissance des volumes. L'absence de mécanismes de Quality of Service (alertes, monitoring, SLAs) empêche toute détection proactive des anomalies. Enfin, l'architecture actuelle ne prévoit pas de zone de stockage temporaire (landing zone) isolée des zones Bronze/Silver/Gold, ce qui complique la gestion des fichiers reçus et leur archivage.</w:t>
      </w:r>
    </w:p>
    <w:p>
      <w:r>
        <w:t>La sécurité constitue le domaine le plus critique d'amélioration. L'exposition explicite des clés d'accès Azure dans le code, l'absence de chiffrement des données en transit autre que celui fourni par défaut par les services, l'absence de réseau virtuel (VNet) isolant les composants, et l'absence de contrôles d'accès basés sur les identités (IAM) créent une surface d'attaque considérable. Pour une entreprise du secteur retail traitant des données clients, ces lacunes représentent des risques réglementaires (RGPD, PCI-DSS) et réputationnels majeurs.</w:t>
      </w:r>
    </w:p>
    <w:p>
      <w:pPr>
        <w:pStyle w:val="Heading2"/>
      </w:pPr>
      <w:r>
        <w:t>Recommandations stratégiques Enterprise-grade</w:t>
      </w:r>
    </w:p>
    <w:p>
      <w:pPr>
        <w:pStyle w:val="Heading3"/>
      </w:pPr>
      <w:r>
        <w:t>Recommandation 1 : Industrialisation CI/CD et Infrastructure as Code</w:t>
      </w:r>
    </w:p>
    <w:p>
      <w:r>
        <w:t>La transformation en solution enterprise-grade impose l'adoption d'une démarche Infrastructure as Code (IaC) et l'établissement d'une chaîne CI/CD complète. L'ensemble des ressources Azure (Data Factory, Databricks workspace, SQL Database, Storage Account, Key Vault, VNet) doit être provisionné via Terraform ou Azure Resource Manager (ARM) templates versionnés dans Git. Cette approche garantit la reproductibilité des environnements (développement, recette, production), facilite les revues de code infrastructurelles, et permet le rollback contrôlé en cas d'incident.</w:t>
      </w:r>
    </w:p>
    <w:p>
      <w:r>
        <w:t>Pour le pipeline de données proprement dit, l'intégration d'Azure DevOps ou GitHub Actions doit orchestrer le déploiement continu des notebooks Databricks (via Databricks Asset Bundles ou dbx), des pipelines ADF (export ARM template + déploiement paramétré), et des schémas de base de données (via Flyway ou Liquibase). Les tests automatisés — unitaires sur les transformations Spark (chispa ou Great Expectations), tests d'intégration sur les pipelines ADF, tests de non-régression sur les KPIs — doivent constituer des portes obligatoires avant tout déploiement en production. Cette industrialisation réduit drastiquement le risque d'erreur humaine et accélère le time-to-market des évolutions fonctionnelles.</w:t>
      </w:r>
    </w:p>
    <w:p>
      <w:pPr>
        <w:pStyle w:val="Heading3"/>
      </w:pPr>
      <w:r>
        <w:t>Recommandation 2 : Gouvernance des données et catalogue centralisé</w:t>
      </w:r>
    </w:p>
    <w:p>
      <w:r>
        <w:t>La gouvernance des données représente le deuxième pilier de la maturité enterprise. L'intégration d'Azure Purview (ou Microsoft Purview) comme catalogue de données centralisé permettrait de documenter automatiquement le lignage complet des données — de la source SQL/API jusqu'aux KPIs Power BI — en scannant périodiquement les assets Databricks, ADLS et ADF. Ce catalogage automatique, combiné à des annotations métier manuelles (définitions de colonnes, owners, classifications de sensibilité), offre une visibilité transversale indispensable pour la conformité réglementaire et l'autoservice analytique.</w:t>
      </w:r>
    </w:p>
    <w:p>
      <w:r>
        <w:t>La qualité des données doit être formalisée via des suites de tests Great Expectations exécutées à chaque run du pipeline, avec des résultats publiés dans un Data Docs centralisé. Les attentes à valider incluent : la conformité des types, l'unicité des clés primaires, la complétude des champs critiques, la cohérence des jointures (taux de match inter-tables), et la vraisemblance statistique des distributions (détection de valeurs aberrantes). En complément, la classification automatique des données sensibles (PII — Personally Identifiable Information) via Purview ou des scanners dédiés permettra d'appliquer des politiques de masquage et de chiffrement conformes au RGPD.</w:t>
      </w:r>
    </w:p>
    <w:p>
      <w:pPr>
        <w:pStyle w:val="Heading3"/>
      </w:pPr>
      <w:r>
        <w:t>Recommandation 3 : Sécurité réseau, monitoring et observabilité</w:t>
      </w:r>
    </w:p>
    <w:p>
      <w:r>
        <w:t>La sécurisation réseau du pipeline impose le déploiement de l'ensemble des services au sein d'un Azure Virtual Network (VNet) dédié, avec des subnets segmentés par fonction (subnet compute pour Databricks, subnet data pour SQL DB et ADLS via Private Endpoints, subnet integration pour ADF). Les Private Endpoints Azure permettent d'accéder aux services PaaS (SQL Database, ADLS, Key Vault) via des IPs privées sans exposition publique, éliminant ainsi la traversée Internet. Le trafic inter-services doit être contrôlé par des Network Security Groups (NSG) avec des règles de filtrage strictes, et Azure Firewall ou une appliance NVA doit surveiller le trafic sortant.</w:t>
      </w:r>
    </w:p>
    <w:p>
      <w:r>
        <w:t>L'observabilité opérationnelle nécessite l'intégration d'Azure Monitor, Log Analytics et Application Insights pour centraliser les logs, métriques et traces de l'ensemble des composants. Des tableaux de bord Grafana ou Azure Workbooks doivent visualiser les KPIs opérationnels critiques : durée d'exécution des pipelines, taux de succès/échec, latence d'ingestion, volume de données traitées, consommation de compute (DBU pour Databricks), et coûts par couche. Des alertes configurées sur des seuils dynamiques (anomalies de durée, pics d'erreurs, dépassements de budget) doivent notifier automatiquement les équipes d'exploitation via PagerDuty, Teams ou ServiceNow. L'intégration de Databricks System Tables (account usage, audit logs) fournira une visibilité granulaire sur la consommation et les accès au workspace.</w:t>
      </w:r>
    </w:p>
    <w:tbl>
      <w:tblPr>
        <w:tblW w:w="5000" w:type="pct"/>
        <w:tblBorders>
          <w:top w:val="single" w:color="2563EB" w:sz="12"/>
          <w:left w:val="nil"/>
          <w:bottom w:val="single" w:color="2563EB" w:sz="12"/>
          <w:right w:val="nil"/>
          <w:insideH w:val="single" w:color="cbd5e1" w:sz="4"/>
          <w:insideV w:val="nil"/>
        </w:tblBorders>
      </w:tblPr>
      <w:tblGrid>
        <w:gridCol w:w="600"/>
        <w:gridCol w:w="2400"/>
        <w:gridCol w:w="4000"/>
        <w:gridCol w:w="3000"/>
      </w:tblGrid>
      <w:tr>
        <w:trPr>
          <w:tblHeader/>
        </w:trPr>
        <w:tc>
          <w:tcPr>
            <w:tcW w:w="600" w:type="dxa"/>
            <w:shd w:val="clear" w:fill="f1f5f9"/>
          </w:tcPr>
          <w:p>
            <w:pPr>
              <w:spacing w:before="60" w:after="60"/>
              <w:jc w:val="left"/>
            </w:pPr>
            <w:r>
              <w:rPr>
                <w:b/>
                <w:color w:val="1e293b"/>
                <w:sz w:val="20"/>
              </w:rPr>
              <w:t>#</w:t>
            </w:r>
          </w:p>
        </w:tc>
        <w:tc>
          <w:tcPr>
            <w:tcW w:w="2400" w:type="dxa"/>
            <w:shd w:val="clear" w:fill="f1f5f9"/>
          </w:tcPr>
          <w:p>
            <w:pPr>
              <w:spacing w:before="60" w:after="60"/>
              <w:jc w:val="left"/>
            </w:pPr>
            <w:r>
              <w:rPr>
                <w:b/>
                <w:color w:val="1e293b"/>
                <w:sz w:val="20"/>
              </w:rPr>
              <w:t>Domaine</w:t>
            </w:r>
          </w:p>
        </w:tc>
        <w:tc>
          <w:tcPr>
            <w:tcW w:w="4000" w:type="dxa"/>
            <w:shd w:val="clear" w:fill="f1f5f9"/>
          </w:tcPr>
          <w:p>
            <w:pPr>
              <w:spacing w:before="60" w:after="60"/>
              <w:jc w:val="left"/>
            </w:pPr>
            <w:r>
              <w:rPr>
                <w:b/>
                <w:color w:val="1e293b"/>
                <w:sz w:val="20"/>
              </w:rPr>
              <w:t>Actions clés</w:t>
            </w:r>
          </w:p>
        </w:tc>
        <w:tc>
          <w:tcPr>
            <w:tcW w:w="3000" w:type="dxa"/>
            <w:shd w:val="clear" w:fill="f1f5f9"/>
          </w:tcPr>
          <w:p>
            <w:pPr>
              <w:spacing w:before="60" w:after="60"/>
              <w:jc w:val="left"/>
            </w:pPr>
            <w:r>
              <w:rPr>
                <w:b/>
                <w:color w:val="1e293b"/>
                <w:sz w:val="20"/>
              </w:rPr>
              <w:t>Services Azure clés</w:t>
            </w:r>
          </w:p>
        </w:tc>
      </w:tr>
      <w:tr>
        <w:tc>
          <w:tcPr>
            <w:tcW w:w="600" w:type="dxa"/>
          </w:tcPr>
          <w:p>
            <w:pPr>
              <w:spacing w:before="40" w:after="40"/>
              <w:jc w:val="left"/>
            </w:pPr>
            <w:r>
              <w:rPr>
                <w:color w:val="475569"/>
                <w:sz w:val="20"/>
              </w:rPr>
              <w:t>1</w:t>
            </w:r>
          </w:p>
        </w:tc>
        <w:tc>
          <w:tcPr>
            <w:tcW w:w="2400" w:type="dxa"/>
          </w:tcPr>
          <w:p>
            <w:pPr>
              <w:spacing w:before="40" w:after="40"/>
              <w:jc w:val="left"/>
            </w:pPr>
            <w:r>
              <w:rPr>
                <w:color w:val="475569"/>
                <w:sz w:val="20"/>
              </w:rPr>
              <w:t>CI/CD &amp; IaC</w:t>
            </w:r>
          </w:p>
        </w:tc>
        <w:tc>
          <w:tcPr>
            <w:tcW w:w="4000" w:type="dxa"/>
          </w:tcPr>
          <w:p>
            <w:pPr>
              <w:spacing w:before="40" w:after="40"/>
              <w:jc w:val="left"/>
            </w:pPr>
            <w:r>
              <w:rPr>
                <w:color w:val="475569"/>
                <w:sz w:val="20"/>
              </w:rPr>
              <w:t>Terraform, GitHub Actions, tests automatisés, DAB</w:t>
            </w:r>
          </w:p>
        </w:tc>
        <w:tc>
          <w:tcPr>
            <w:tcW w:w="3000" w:type="dxa"/>
          </w:tcPr>
          <w:p>
            <w:pPr>
              <w:spacing w:before="40" w:after="40"/>
              <w:jc w:val="left"/>
            </w:pPr>
            <w:r>
              <w:rPr>
                <w:color w:val="475569"/>
                <w:sz w:val="20"/>
              </w:rPr>
              <w:t>DevOps, Key Vault, GitHub</w:t>
            </w:r>
          </w:p>
        </w:tc>
      </w:tr>
      <w:tr>
        <w:tc>
          <w:tcPr>
            <w:tcW w:w="600" w:type="dxa"/>
          </w:tcPr>
          <w:p>
            <w:pPr>
              <w:spacing w:before="40" w:after="40"/>
              <w:jc w:val="left"/>
            </w:pPr>
            <w:r>
              <w:rPr>
                <w:color w:val="475569"/>
                <w:sz w:val="20"/>
              </w:rPr>
              <w:t>2</w:t>
            </w:r>
          </w:p>
        </w:tc>
        <w:tc>
          <w:tcPr>
            <w:tcW w:w="2400" w:type="dxa"/>
          </w:tcPr>
          <w:p>
            <w:pPr>
              <w:spacing w:before="40" w:after="40"/>
              <w:jc w:val="left"/>
            </w:pPr>
            <w:r>
              <w:rPr>
                <w:color w:val="475569"/>
                <w:sz w:val="20"/>
              </w:rPr>
              <w:t>Gouvernance</w:t>
            </w:r>
          </w:p>
        </w:tc>
        <w:tc>
          <w:tcPr>
            <w:tcW w:w="4000" w:type="dxa"/>
          </w:tcPr>
          <w:p>
            <w:pPr>
              <w:spacing w:before="40" w:after="40"/>
              <w:jc w:val="left"/>
            </w:pPr>
            <w:r>
              <w:rPr>
                <w:color w:val="475569"/>
                <w:sz w:val="20"/>
              </w:rPr>
              <w:t>Purview catalog, Great Expectations, classification PII</w:t>
            </w:r>
          </w:p>
        </w:tc>
        <w:tc>
          <w:tcPr>
            <w:tcW w:w="3000" w:type="dxa"/>
          </w:tcPr>
          <w:p>
            <w:pPr>
              <w:spacing w:before="40" w:after="40"/>
              <w:jc w:val="left"/>
            </w:pPr>
            <w:r>
              <w:rPr>
                <w:color w:val="475569"/>
                <w:sz w:val="20"/>
              </w:rPr>
              <w:t>Purview, Data Factory, Databricks</w:t>
            </w:r>
          </w:p>
        </w:tc>
      </w:tr>
      <w:tr>
        <w:tc>
          <w:tcPr>
            <w:tcW w:w="600" w:type="dxa"/>
          </w:tcPr>
          <w:p>
            <w:pPr>
              <w:spacing w:before="40" w:after="40"/>
              <w:jc w:val="left"/>
            </w:pPr>
            <w:r>
              <w:rPr>
                <w:color w:val="475569"/>
                <w:sz w:val="20"/>
              </w:rPr>
              <w:t>3</w:t>
            </w:r>
          </w:p>
        </w:tc>
        <w:tc>
          <w:tcPr>
            <w:tcW w:w="2400" w:type="dxa"/>
          </w:tcPr>
          <w:p>
            <w:pPr>
              <w:spacing w:before="40" w:after="40"/>
              <w:jc w:val="left"/>
            </w:pPr>
            <w:r>
              <w:rPr>
                <w:color w:val="475569"/>
                <w:sz w:val="20"/>
              </w:rPr>
              <w:t>Sécurité &amp; Monitoring</w:t>
            </w:r>
          </w:p>
        </w:tc>
        <w:tc>
          <w:tcPr>
            <w:tcW w:w="4000" w:type="dxa"/>
          </w:tcPr>
          <w:p>
            <w:pPr>
              <w:spacing w:before="40" w:after="40"/>
              <w:jc w:val="left"/>
            </w:pPr>
            <w:r>
              <w:rPr>
                <w:color w:val="475569"/>
                <w:sz w:val="20"/>
              </w:rPr>
              <w:t>VNet, Private Endpoints, NSG, Azure Monitor, alertes</w:t>
            </w:r>
          </w:p>
        </w:tc>
        <w:tc>
          <w:tcPr>
            <w:tcW w:w="3000" w:type="dxa"/>
          </w:tcPr>
          <w:p>
            <w:pPr>
              <w:spacing w:before="40" w:after="40"/>
              <w:jc w:val="left"/>
            </w:pPr>
            <w:r>
              <w:rPr>
                <w:color w:val="475569"/>
                <w:sz w:val="20"/>
              </w:rPr>
              <w:t>Monitor, VNet, Firewall, Sentinel</w:t>
            </w:r>
          </w:p>
        </w:tc>
      </w:tr>
    </w:tbl>
    <w:p>
      <w:pPr>
        <w:pStyle w:val="Caption"/>
      </w:pPr>
      <w:r>
        <w:t>Tableau 5 : Synthèse des recommandations stratégiques</w:t>
      </w:r>
    </w:p>
    <w:p>
      <w:r>
        <w:t>Ce projet constitue une fondation technique solide qui démontre la maîtrise des concepts fondamentaux du data engineering cloud : architecture Medallion, ingestion multi-sources, transformations Spark et modélisation analytique. La migration vers une architecture enterprise-grade ne remet pas en cause les choix stratégiques effectués mais consiste principalement à industrialiser les processus, sécuriser les accès, et mettre en place les capacités d'observabilité et de gouvernance indispensables à l'exploitation en production. L'investissement dans ces trois domaines — CI/CD, gouvernance, et sécurité/monitoring — transformera ce proof-of-concept en une plateforme de données robuste, scalable et conforme aux standards enterprise.</w:t>
      </w:r>
    </w:p>
    <w:p>
      <w:pPr>
        <w:sectPr>
          <w:headerReference w:type="default" r:id="Rdb93f83b74da45f3"/>
          <w:footerReference w:type="default" r:id="Rc00a610176fb4b9c"/>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3d53fe414edc452a"/>
                    <a:stretch>
                      <a:fillRect/>
                    </a:stretch>
                  </pic:blipFill>
                  <pic:spPr>
                    <a:xfrm>
                      <a:off x="0" y="0"/>
                      <a:ext cx="7560000" cy="10692000"/>
                    </a:xfrm>
                    <a:prstGeom prst="rect"/>
                  </pic:spPr>
                </pic:pic>
              </a:graphicData>
            </a:graphic>
          </wp:anchor>
        </w:drawing>
      </w:r>
    </w:p>
    <w:p>
      <w:pPr>
        <w:spacing w:before="6500"/>
        <w:jc w:val="center"/>
      </w:pPr>
      <w:r>
        <w:rPr>
          <w:b/>
          <w:color w:val="2563EB"/>
          <w:sz w:val="44"/>
        </w:rPr>
        <w:t>Revue Architecturale</w:t>
      </w:r>
    </w:p>
    <w:p>
      <w:pPr>
        <w:spacing w:before="200"/>
        <w:jc w:val="center"/>
      </w:pPr>
      <w:r>
        <w:rPr>
          <w:color w:val="475569"/>
          <w:sz w:val="22"/>
        </w:rPr>
        <w:t>Pipeline Data Retail — Azure Cloud Platform</w:t>
      </w:r>
    </w:p>
    <w:p>
      <w:pPr>
        <w:spacing w:before="600"/>
        <w:jc w:val="center"/>
      </w:pPr>
      <w:r>
        <w:rPr>
          <w:color w:val="94a3b8"/>
          <w:sz w:val="18"/>
        </w:rPr>
        <w:t>Document confidentiel — Juin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94a3b8"/>
        <w:sz w:val="18"/>
      </w:rPr>
      <w:fldChar w:fldCharType="begin"/>
    </w:r>
    <w:r>
      <w:rPr>
        <w:color w:val="94a3b8"/>
        <w:sz w:val="18"/>
      </w:rPr>
      <w:instrText xml:space="preserve"> PAGE </w:instrText>
    </w:r>
    <w:r>
      <w:rPr>
        <w:color w:val="94a3b8"/>
        <w:sz w:val="18"/>
      </w:rPr>
      <w:fldChar w:fldCharType="separate"/>
    </w:r>
    <w:r>
      <w:rPr>
        <w:color w:val="94a3b8"/>
        <w:sz w:val="18"/>
      </w:rPr>
      <w:t>1</w:t>
    </w:r>
    <w:r>
      <w:rPr>
        <w:color w:val="94a3b8"/>
        <w:sz w:val="18"/>
      </w:rPr>
      <w:fldChar w:fldCharType="end"/>
    </w:r>
    <w:r>
      <w:rPr>
        <w:color w:val="94a3b8"/>
        <w:sz w:val="18"/>
      </w:rPr>
      <w:t xml:space="preserve"> / </w:t>
    </w:r>
    <w:r>
      <w:rPr>
        <w:color w:val="94a3b8"/>
        <w:sz w:val="18"/>
      </w:rPr>
      <w:fldChar w:fldCharType="begin"/>
    </w:r>
    <w:r>
      <w:rPr>
        <w:color w:val="94a3b8"/>
        <w:sz w:val="18"/>
      </w:rPr>
      <w:instrText xml:space="preserve"> NUMPAGES </w:instrText>
    </w:r>
    <w:r>
      <w:rPr>
        <w:color w:val="94a3b8"/>
        <w:sz w:val="18"/>
      </w:rPr>
      <w:fldChar w:fldCharType="separate"/>
    </w:r>
    <w:r>
      <w:rPr>
        <w:color w:val="94a3b8"/>
        <w:sz w:val="18"/>
      </w:rPr>
      <w:t>1</w:t>
    </w:r>
    <w:r>
      <w:rPr>
        <w:color w:val="94a3b8"/>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fcd9d2061cf747d7"/>
                  <a:stretch>
                    <a:fillRect/>
                  </a:stretch>
                </pic:blipFill>
                <pic:spPr>
                  <a:xfrm>
                    <a:off x="0" y="0"/>
                    <a:ext cx="7560000" cy="10692000"/>
                  </a:xfrm>
                  <a:prstGeom prst="rect"/>
                </pic:spPr>
              </pic:pic>
            </a:graphicData>
          </a:graphic>
        </wp:anchor>
      </w:drawing>
    </w:r>
  </w:p>
  <w:p>
    <w:pPr>
      <w:jc w:val="right"/>
    </w:pPr>
    <w:r>
      <w:rPr>
        <w:color w:val="94a3b8"/>
        <w:sz w:val="18"/>
      </w:rPr>
      <w:t>Revue Architecturale — Pipeline Data Retail Azure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e293b"/>
      <w:sz w:val="22"/>
    </w:rPr>
  </w:style>
  <w:style w:type="paragraph" w:styleId="Heading1">
    <w:name w:val="heading 1"/>
    <w:basedOn w:val="Normal"/>
    <w:pPr>
      <w:keepNext/>
      <w:keepLines/>
      <w:spacing w:before="600" w:after="280"/>
      <w:outlineLvl w:val="0"/>
    </w:pPr>
    <w:rPr>
      <w:rFonts w:ascii="Calibri" w:hAnsi="Calibri" w:eastAsia="Microsoft YaHei"/>
      <w:b/>
      <w:color w:val="2563EB"/>
      <w:sz w:val="40"/>
    </w:rPr>
  </w:style>
  <w:style w:type="paragraph" w:styleId="Heading2">
    <w:name w:val="heading 2"/>
    <w:basedOn w:val="Normal"/>
    <w:pPr>
      <w:keepNext/>
      <w:keepLines/>
      <w:spacing w:before="440" w:after="180"/>
      <w:outlineLvl w:val="1"/>
    </w:pPr>
    <w:rPr>
      <w:rFonts w:ascii="Calibri" w:hAnsi="Calibri" w:eastAsia="Microsoft YaHei"/>
      <w:b/>
      <w:color w:val="1e293b"/>
      <w:sz w:val="28"/>
    </w:rPr>
  </w:style>
  <w:style w:type="paragraph" w:styleId="Heading3">
    <w:name w:val="heading 3"/>
    <w:basedOn w:val="Normal"/>
    <w:pPr>
      <w:keepNext/>
      <w:keepLines/>
      <w:spacing w:before="320" w:after="140"/>
      <w:outlineLvl w:val="2"/>
    </w:pPr>
    <w:rPr>
      <w:rFonts w:ascii="Calibri" w:hAnsi="Calibri" w:eastAsia="Microsoft YaHei"/>
      <w:b/>
      <w:color w:val="475569"/>
      <w:sz w:val="24"/>
    </w:rPr>
  </w:style>
  <w:style w:type="paragraph" w:styleId="Caption">
    <w:name w:val="Caption"/>
    <w:basedOn w:val="Normal"/>
    <w:pPr>
      <w:spacing w:before="60" w:after="320"/>
      <w:jc w:val="center"/>
    </w:pPr>
    <w:rPr>
      <w:color w:val="94a3b8"/>
      <w:sz w:val="20"/>
    </w:rPr>
  </w:style>
  <w:style w:type="paragraph" w:styleId="TOC1">
    <w:name w:val="toc 1"/>
    <w:basedOn w:val="Normal"/>
    <w:pPr>
      <w:tabs>
        <w:tab w:val="right" w:leader="dot" w:pos="9350"/>
      </w:tabs>
      <w:spacing w:before="240" w:after="60"/>
      <w:ind w:left="0"/>
    </w:pPr>
    <w:rPr>
      <w:b/>
      <w:color w:val="1e293b"/>
    </w:rPr>
  </w:style>
  <w:style w:type="paragraph" w:styleId="TOC2">
    <w:name w:val="toc 2"/>
    <w:basedOn w:val="Normal"/>
    <w:pPr>
      <w:tabs>
        <w:tab w:val="right" w:leader="dot" w:pos="9350"/>
      </w:tabs>
      <w:spacing w:before="80" w:after="60"/>
      <w:ind w:left="360"/>
    </w:pPr>
    <w:rPr>
      <w:color w:val="475569"/>
    </w:rPr>
  </w:style>
  <w:style w:type="paragraph" w:styleId="TOC3">
    <w:name w:val="toc 3"/>
    <w:basedOn w:val="Normal"/>
    <w:pPr>
      <w:tabs>
        <w:tab w:val="right" w:leader="dot" w:pos="9350"/>
      </w:tabs>
      <w:spacing w:before="40" w:after="60"/>
      <w:ind w:left="720"/>
    </w:pPr>
    <w:rPr>
      <w:color w:val="475569"/>
    </w:rPr>
  </w:style>
</w:styles>
</file>

<file path=word/_rels/document.xml.rels><?xml version='1.0' encoding='UTF-8'?>
<Relationships xmlns="http://schemas.openxmlformats.org/package/2006/relationships"><Relationship Type="http://schemas.openxmlformats.org/officeDocument/2006/relationships/styles" Target="styles.xml" Id="R1349bfa4afb84b87" /><Relationship Type="http://schemas.openxmlformats.org/officeDocument/2006/relationships/numbering" Target="numbering.xml" Id="R15f70022a348466f" /><Relationship Type="http://schemas.openxmlformats.org/officeDocument/2006/relationships/image" Target="media/image.png" Id="R41411655184a44c6" /><Relationship Type="http://schemas.openxmlformats.org/officeDocument/2006/relationships/image" Target="media/image2.png" Id="R3d53fe414edc452a" /><Relationship Type="http://schemas.openxmlformats.org/officeDocument/2006/relationships/header" Target="header1.xml" Id="Rdb93f83b74da45f3" /><Relationship Type="http://schemas.openxmlformats.org/officeDocument/2006/relationships/footer" Target="footer1.xml" Id="Rc00a610176fb4b9c" /><Relationship Type="http://schemas.openxmlformats.org/officeDocument/2006/relationships/settings" Target="settings.xml" Id="R21551fa419134f94" /></Relationships>
</file>

<file path=word/_rels/header1.xml.rels><?xml version='1.0' encoding='UTF-8'?>
<Relationships xmlns="http://schemas.openxmlformats.org/package/2006/relationships"><Relationship Type="http://schemas.openxmlformats.org/officeDocument/2006/relationships/image" Target="media/image3.png" Id="Rfcd9d2061cf747d7" /></Relationships>
</file>