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§3, §7, §8, §9, §10, §11, §13, §15, §16. New sections inserted: §4 Your Data and Content, §5 Subscriptions and Fees, §6 Chexbill Payments, §12 Copyright Complaints, §14 Accessibility (moved out of General). The arbitration warning in the preamble, the survival clause (§11), and all internal cross-references were updated to the new numbers.</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§16.7,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New: Organizations, Administrator, Authorized Users; responsibility for Authorized Users and "credentials cannot be shared" taken from the MSA.</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(v)–(ix): circumvention (from MSA §3.1(e)), sham invoices/fraud, sanctions/AML/export, malware, credential sharing. (vi)–(ix) are new language at the founder's request for a payments product.</w:t>
            </w:r>
          </w:p>
        </w:tc>
      </w:tr>
      <w:tr>
        <w:tc>
          <w:tcPr>
            <w:tcW w:type="dxa" w:w="2880"/>
          </w:tcPr>
          <w:p>
            <w:r/>
            <w:r>
              <w:t>§2.4</w:t>
            </w:r>
          </w:p>
        </w:tc>
        <w:tc>
          <w:tcPr>
            <w:tcW w:type="dxa" w:w="2880"/>
          </w:tcPr>
          <w:p>
            <w:r/>
            <w:r>
              <w:t>§2.4</w:t>
            </w:r>
          </w:p>
        </w:tc>
        <w:tc>
          <w:tcPr>
            <w:tcW w:type="dxa" w:w="2880"/>
          </w:tcPr>
          <w:p>
            <w:r/>
            <w:r>
              <w:t>Kept "no support obligation"; added "best-efforts" sentence.</w:t>
            </w:r>
          </w:p>
        </w:tc>
      </w:tr>
      <w:tr>
        <w:tc>
          <w:tcPr>
            <w:tcW w:type="dxa" w:w="2880"/>
          </w:tcPr>
          <w:p>
            <w:r/>
            <w:r>
              <w:t>§2.7</w:t>
            </w:r>
          </w:p>
        </w:tc>
        <w:tc>
          <w:tcPr>
            <w:tcW w:type="dxa" w:w="2880"/>
          </w:tcPr>
          <w:p>
            <w:r/>
            <w:r>
              <w:t>—</w:t>
            </w:r>
          </w:p>
        </w:tc>
        <w:tc>
          <w:tcPr>
            <w:tcW w:type="dxa" w:w="2880"/>
          </w:tcPr>
          <w:p>
            <w:r/>
            <w:r>
              <w:t>New one-line third-party/open-source software notice.</w:t>
            </w:r>
          </w:p>
        </w:tc>
      </w:tr>
      <w:tr>
        <w:tc>
          <w:tcPr>
            <w:tcW w:type="dxa" w:w="2880"/>
          </w:tcPr>
          <w:p>
            <w:r/>
            <w:r>
              <w:t>§3.3</w:t>
            </w:r>
          </w:p>
        </w:tc>
        <w:tc>
          <w:tcPr>
            <w:tcW w:type="dxa" w:w="2880"/>
          </w:tcPr>
          <w:p>
            <w:r/>
            <w:r>
              <w:t>—</w:t>
            </w:r>
          </w:p>
        </w:tc>
        <w:tc>
          <w:tcPr>
            <w:tcW w:type="dxa" w:w="2880"/>
          </w:tcPr>
          <w:p>
            <w:r/>
            <w:r>
              <w:t>New pointer to the DPA.</w:t>
            </w:r>
          </w:p>
        </w:tc>
      </w:tr>
      <w:tr>
        <w:tc>
          <w:tcPr>
            <w:tcW w:type="dxa" w:w="2880"/>
          </w:tcPr>
          <w:p>
            <w:r/>
            <w:r>
              <w:t>§4.1–4.4</w:t>
            </w:r>
          </w:p>
        </w:tc>
        <w:tc>
          <w:tcPr>
            <w:tcW w:type="dxa" w:w="2880"/>
          </w:tcPr>
          <w:p>
            <w:r/>
            <w:r>
              <w:t>MSA §4.2–4.3</w:t>
            </w:r>
          </w:p>
        </w:tc>
        <w:tc>
          <w:tcPr>
            <w:tcW w:type="dxa" w:w="2880"/>
          </w:tcPr>
          <w:p>
            <w:r/>
            <w:r>
              <w:t>Customer Data ownership, license to Company, customer responsibility for data and consents, Aggregated Data — adapted from the MSA with product-specific examples.</w:t>
            </w:r>
          </w:p>
        </w:tc>
      </w:tr>
      <w:tr>
        <w:tc>
          <w:tcPr>
            <w:tcW w:type="dxa" w:w="2880"/>
          </w:tcPr>
          <w:p>
            <w:r/>
            <w:r>
              <w:t>§4.5</w:t>
            </w:r>
          </w:p>
        </w:tc>
        <w:tc>
          <w:tcPr>
            <w:tcW w:type="dxa" w:w="2880"/>
          </w:tcPr>
          <w:p>
            <w:r/>
            <w:r>
              <w:t>MSA §6.2 (Outputs)</w:t>
            </w:r>
          </w:p>
        </w:tc>
        <w:tc>
          <w:tcPr>
            <w:tcW w:type="dxa" w:w="2880"/>
          </w:tcPr>
          <w:p>
            <w:r/>
            <w:r>
              <w:t>AI extraction disclaimer adapted from the MSA's Outputs disclaimer.</w:t>
            </w:r>
          </w:p>
        </w:tc>
      </w:tr>
      <w:tr>
        <w:tc>
          <w:tcPr>
            <w:tcW w:type="dxa" w:w="2880"/>
          </w:tcPr>
          <w:p>
            <w:r/>
            <w:r>
              <w:t>§4.6</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§4.7</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§4.8</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§5</w:t>
            </w:r>
          </w:p>
        </w:tc>
        <w:tc>
          <w:tcPr>
            <w:tcW w:type="dxa" w:w="2880"/>
          </w:tcPr>
          <w:p>
            <w:r/>
            <w:r>
              <w:t>MSA §5 (Fees, Taxes, Payment Terms, Suspension)</w:t>
            </w:r>
          </w:p>
        </w:tc>
        <w:tc>
          <w:tcPr>
            <w:tcW w:type="dxa" w:w="2880"/>
          </w:tcPr>
          <w:p>
            <w:r/>
            <w:r>
              <w:t>Trial, auto-renewal, payment via CardConnect, cancellation, no refunds (MSA §5.3 "non-refundable"), 30-day price-change notice (MSA §5.1), 7-day grace then suspension (MSA §5.4 was 30 days), taxes (MSA §5.2). Auto-renewal sentence in capitals added as a conspicuous disclosure.</w:t>
            </w:r>
          </w:p>
        </w:tc>
      </w:tr>
      <w:tr>
        <w:tc>
          <w:tcPr>
            <w:tcW w:type="dxa" w:w="2880"/>
          </w:tcPr>
          <w:p>
            <w:r/>
            <w:r>
              <w:t>§6</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merchant agreement with CardConnect/Fiserv governs processing, onboarding data, fees per Pricing Schedule collected by the Processor, equipment billed by Chexbill, merchant obligations, Payors.</w:t>
            </w:r>
          </w:p>
        </w:tc>
      </w:tr>
      <w:tr>
        <w:tc>
          <w:tcPr>
            <w:tcW w:type="dxa" w:w="2880"/>
          </w:tcPr>
          <w:p>
            <w:r/>
            <w:r>
              <w:t>§7.1</w:t>
            </w:r>
          </w:p>
        </w:tc>
        <w:tc>
          <w:tcPr>
            <w:tcW w:type="dxa" w:w="2880"/>
          </w:tcPr>
          <w:p>
            <w:r/>
            <w:r>
              <w:t>§5.1</w:t>
            </w:r>
          </w:p>
        </w:tc>
        <w:tc>
          <w:tcPr>
            <w:tcW w:type="dxa" w:w="2880"/>
          </w:tcPr>
          <w:p>
            <w:r/>
            <w:r>
              <w:t>"may display third-party advertisements" removed (no ads); examples added.</w:t>
            </w:r>
          </w:p>
        </w:tc>
      </w:tr>
      <w:tr>
        <w:tc>
          <w:tcPr>
            <w:tcW w:type="dxa" w:w="2880"/>
          </w:tcPr>
          <w:p>
            <w:r/>
            <w:r>
              <w:t>§7.2</w:t>
            </w:r>
          </w:p>
        </w:tc>
        <w:tc>
          <w:tcPr>
            <w:tcW w:type="dxa" w:w="2880"/>
          </w:tcPr>
          <w:p>
            <w:r/>
            <w:r>
              <w:t>MSA §2.3</w:t>
            </w:r>
          </w:p>
        </w:tc>
        <w:tc>
          <w:tcPr>
            <w:tcW w:type="dxa" w:w="2880"/>
          </w:tcPr>
          <w:p>
            <w:r/>
            <w:r>
              <w:t>Connected bank accounts via Plaid, with the MSA's representations and no-liability language; Plaid End User Privacy Policy referenced.</w:t>
            </w:r>
          </w:p>
        </w:tc>
      </w:tr>
      <w:tr>
        <w:tc>
          <w:tcPr>
            <w:tcW w:type="dxa" w:w="2880"/>
          </w:tcPr>
          <w:p>
            <w:r/>
            <w:r>
              <w:t>§7.3–7.4</w:t>
            </w:r>
          </w:p>
        </w:tc>
        <w:tc>
          <w:tcPr>
            <w:tcW w:type="dxa" w:w="2880"/>
          </w:tcPr>
          <w:p>
            <w:r/>
            <w:r>
              <w:t>§5.2–5.3</w:t>
            </w:r>
          </w:p>
        </w:tc>
        <w:tc>
          <w:tcPr>
            <w:tcW w:type="dxa" w:w="2880"/>
          </w:tcPr>
          <w:p>
            <w:r/>
            <w:r>
              <w:t>Kept; "Payors" added to the other-users and release language.</w:t>
            </w:r>
          </w:p>
        </w:tc>
      </w:tr>
      <w:tr>
        <w:tc>
          <w:tcPr>
            <w:tcW w:type="dxa" w:w="2880"/>
          </w:tcPr>
          <w:p>
            <w:r/>
            <w:r>
              <w:t>§8</w:t>
            </w:r>
          </w:p>
        </w:tc>
        <w:tc>
          <w:tcPr>
            <w:tcW w:type="dxa" w:w="2880"/>
          </w:tcPr>
          <w:p>
            <w:r/>
            <w:r>
              <w:t>§4</w:t>
            </w:r>
          </w:p>
        </w:tc>
        <w:tc>
          <w:tcPr>
            <w:tcW w:type="dxa" w:w="2880"/>
          </w:tcPr>
          <w:p>
            <w:r/>
            <w:r>
              <w:t xml:space="preserve">Indemnity extended to (iv) Customer Data and (v) Chexbill Payments transactions, chargebacks, and card-network compliance. </w:t>
            </w:r>
            <w:r>
              <w:rPr>
                <w:b/>
              </w:rPr>
              <w:t>Broadens the customer's indemnity.</w:t>
            </w:r>
          </w:p>
        </w:tc>
      </w:tr>
      <w:tr>
        <w:tc>
          <w:tcPr>
            <w:tcW w:type="dxa" w:w="2880"/>
          </w:tcPr>
          <w:p>
            <w:r/>
            <w:r>
              <w:t>§9</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§10</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p>
        </w:tc>
      </w:tr>
      <w:tr>
        <w:tc>
          <w:tcPr>
            <w:tcW w:type="dxa" w:w="2880"/>
          </w:tcPr>
          <w:p>
            <w:r/>
            <w:r>
              <w:t>§12</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§13</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r>
        <w:tc>
          <w:tcPr>
            <w:tcW w:type="dxa" w:w="2880"/>
          </w:tcPr>
          <w:p>
            <w:r/>
            <w:r>
              <w:t>§16</w:t>
            </w:r>
          </w:p>
        </w:tc>
        <w:tc>
          <w:tcPr>
            <w:tcW w:type="dxa" w:w="2880"/>
          </w:tcPr>
          <w:p>
            <w:r/>
            <w:r>
              <w:t>§11 Option A</w:t>
            </w:r>
          </w:p>
        </w:tc>
        <w:tc>
          <w:tcPr>
            <w:tcW w:type="dxa" w:w="2880"/>
          </w:tcPr>
          <w:p>
            <w:r/>
            <w:r>
              <w:t>Kept verbatim except: addresses/emails filled, "California" replaced with "Delaware" in §16.2, §16.7, and §16.10.</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w:t>
      </w:r>
      <w:r>
        <w:rPr>
          <w:b/>
        </w:rPr>
        <w:t>Dropped:</w:t>
      </w:r>
      <w:r>
        <w:t xml:space="preserve"> Demographic, Relationship, Promotion (no contests), precise geolocation, "chat features" bracket.</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Data providers, Partners.</w:t>
      </w:r>
    </w:p>
    <w:p>
      <w:r>
        <w:rPr>
          <w:b/>
        </w:rPr>
        <w:t>Uses:</w:t>
      </w:r>
      <w:r>
        <w:t xml:space="preserve"> kept Service delivery (edited examples; "social features" bullet dropped), Personalization, Service improvement and analytics (Google Analytics example replaced by PostHog),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w:t>
      </w:r>
    </w:p>
    <w:p>
      <w:r>
        <w:rPr>
          <w:b/>
        </w:rPr>
        <w:t>Added paragraph with no template source:</w:t>
      </w:r>
      <w:r>
        <w:t xml:space="preserve"> "Personal information we process on behalf of our customers" (processor-role clarification).</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sentence; GPC bullet in Your choices (new, mirrors the Privacy Policy); vendor privacy-policy URLs in the table.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(vendor TINs for information returns, bank account/routing numbers for payments, connected-account transaction data). </w:t>
      </w:r>
      <w:r>
        <w:rPr>
          <w:b/>
        </w:rPr>
        <w:t>This loosens the template's blanket prohibition; without it the warranty would be breached by ordinary use of the product.</w:t>
      </w:r>
      <w:r>
        <w:t xml:space="preserve"> Annex 1 "Categories of sensitive data" changed from "None" accordingly, with an "additional safeguards" sentence added. §9(b) adds a sentence pointing to the export feature. </w:t>
      </w:r>
      <w:r>
        <w:rPr>
          <w:b/>
        </w:rPr>
        <w:t>Kept as drafted:</w:t>
      </w:r>
      <w:r>
        <w:t xml:space="preserve"> everything else, including 15-day subprocessor objection, annual audit right, 30-day post-cessation window, AI-training prohibition (§10), liability cap import (§11(d)), signature block.</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§4.8; Privacy Policy "Retention"). Engineering must state how long Supabase backups retain deleted data.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Vendor privacy-policy URLs</w:t>
      </w:r>
      <w:r>
        <w:t xml:space="preserve"> in the Cookie Notice table and the Fiserv privacy-notice URL in the Privacy Policy were supplied by the drafter, not the templates; verify each resolves before publication.</w:t>
      </w:r>
    </w:p>
    <w:p>
      <w:pPr>
        <w:pStyle w:val="Heading3"/>
      </w:pPr>
      <w:r>
        <w:t>B.2 Judgment calls marked [ATTORNEY REVIEW] or otherwise worth a look</w:t>
      </w:r>
    </w:p>
    <w:p>
      <w:pPr>
        <w:pStyle w:val="ListNumber"/>
      </w:pPr>
      <w:r>
        <w:rPr>
          <w:b/>
        </w:rPr>
        <w:t>Chexbill Payments section (Terms §6).</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(§6.4)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"Retention"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§4.8 and the Privacy Policy need a carve-out for tax and payment records (a generic "as required by law" sentence is included).</w:t>
      </w:r>
    </w:p>
    <w:p>
      <w:pPr>
        <w:pStyle w:val="ListNumber"/>
      </w:pPr>
      <w:r>
        <w:rPr>
          <w:b/>
        </w:rPr>
        <w:t>Termination for paid customers (Terms §11).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§10)</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§8)</w:t>
      </w:r>
      <w:r>
        <w:t xml:space="preserve"> extended to Customer Data and payments activity. Confirm.</w:t>
      </w:r>
    </w:p>
    <w:p>
      <w:pPr>
        <w:pStyle w:val="ListNumber"/>
      </w:pPr>
      <w:r>
        <w:rPr>
          <w:b/>
        </w:rPr>
        <w:t>"Not professional advice" and tax-filing clauses (Terms §4.6–4.7).</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Template is countersigned; for a self-serve product, consider incorporating the DPA by reference in the Terms (Terms §3.3 already points to it) with a countersigned copy on request.</w:t>
      </w:r>
    </w:p>
    <w:p>
      <w:pPr>
        <w:pStyle w:val="ListNumber"/>
      </w:pPr>
      <w:r>
        <w:rPr>
          <w:b/>
        </w:rPr>
        <w:t>DPA precedence.</w:t>
      </w:r>
      <w:r>
        <w:t xml:space="preserve"> DPA §11(a) says the DPA governs on conflict; Terms §3.1 says the Privacy Policy governs on personal-data conflicts between the Terms and the Privacy Policy. These concern different documents, but confirm the hierarchy is as intended.</w:t>
      </w:r>
    </w:p>
    <w:p>
      <w:pPr>
        <w:pStyle w:val="ListNumber"/>
      </w:pPr>
      <w:r>
        <w:rPr>
          <w:b/>
        </w:rPr>
        <w:t>Copyright complaints (Terms §12).</w:t>
      </w:r>
      <w:r>
        <w:t xml:space="preserve"> No template clause existed; one paragraph was added. Registering a designated agent with the U.S. Copyright Office is needed for DMCA safe-harbor protection.</w:t>
      </w:r>
    </w:p>
    <w:p>
      <w:pPr>
        <w:pStyle w:val="ListNumber"/>
      </w:pPr>
      <w:r>
        <w:rPr>
          <w:b/>
        </w:rPr>
        <w:t>Arbitration.</w:t>
      </w:r>
      <w:r>
        <w:t xml:space="preserve"> JAMS (Option A) selected; DecisionLayer (Option B) removed. The template's batch-arbitration clause, 45/60-day informal process, and $250,000 Streamlined/Comprehensive split are kept verbatim. Confirm enforceability of the class waiver and opt-out mechanics under Delaware law and against business customers.</w:t>
      </w:r>
    </w:p>
    <w:p>
      <w:pPr>
        <w:pStyle w:val="ListNumber"/>
      </w:pPr>
      <w:r>
        <w:rPr>
          <w:b/>
        </w:rPr>
        <w:t>State consumer notices (Terms §13).</w:t>
      </w:r>
      <w:r>
        <w:t xml:space="preserve"> Kept CA (incl. Civil Code §1789.3 notice with the Delaware address), CO, CT, VA, NV. The template's own note says additional states may be needed; the customer base is business users, so some notices may be unnecessary. Prune or extend.</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§7.2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§6.6 and §7.3; the payment page will carry a short notice linking the Terms and Privacy Policy. Confirm whether Payors need a distinct short-form notice.</w:t>
      </w:r>
    </w:p>
    <w:p>
      <w:pPr>
        <w:pStyle w:val="ListNumber"/>
      </w:pPr>
      <w:r>
        <w:rPr>
          <w:b/>
        </w:rPr>
        <w:t>Accessibility commitment (Terms §14)</w:t>
      </w:r>
      <w:r>
        <w:t xml:space="preserve"> kept at "endeavor to conform to WCAG 2.1 AA". Confirm appetite.</w:t>
      </w:r>
    </w:p>
    <w:p>
      <w:pPr>
        <w:pStyle w:val="ListNumber"/>
      </w:pPr>
      <w:r>
        <w:rPr>
          <w:b/>
        </w:rPr>
        <w:t>General Legal attribution footnote</w:t>
      </w:r>
      <w:r>
        <w:t xml:space="preserve"> kept on each document per the template authors' request (CC0 permits removal).</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§3.3 and from account settings; offer a countersigned PDF on request (or incorporate by reference per B.2.9). Maintain the subprocessor list at </w:t>
      </w:r>
      <w:r>
        <w:t>https://chexbill.com/subprocessors</w:t>
      </w:r>
      <w:r>
        <w:t xml:space="preserve"> and email customers 15 days before adding a subprocessor (DPA §7(d)).</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§5.2) in plain sight before the "Subscribe" button, with price, period, and renewal date; email a confirmation containing the same.</w:t>
      </w:r>
    </w:p>
    <w:p>
      <w:pPr>
        <w:pStyle w:val="ListBullet"/>
      </w:pPr>
      <w:r>
        <w:t>Material changes: email notice to all account holders (Terms §15.1; Privacy Policy "Changes"); for fee changes, email at least 30 days before the renewal (§5.6).</w:t>
      </w:r>
    </w:p>
    <w:p>
      <w:pPr>
        <w:pStyle w:val="ListBullet"/>
      </w:pPr>
      <w:r>
        <w:t>Arbitration opt-out: route emails to legal@chexbill.com and log opt-outs by account; 30-day window runs from first acceptance (§16.10).</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