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Data Processing Addendum</w:t>
      </w:r>
    </w:p>
    <w:p>
      <w:r>
        <w:rPr>
          <w:b/>
        </w:rPr>
        <w:t>Last updated: October 20, 2026.</w:t>
      </w:r>
      <w:r>
        <w:t xml:space="preserve"> This is the first version of this DPA.</w:t>
      </w:r>
    </w:p>
    <w:p>
      <w:r>
        <w:t>This Data Processing Addendum ("</w:t>
      </w:r>
      <w:r>
        <w:rPr>
          <w:b/>
        </w:rPr>
        <w:t>DPA</w:t>
      </w:r>
      <w:r>
        <w:t>") forms part of the Chexbill Terms of Service (the "</w:t>
      </w:r>
      <w:r>
        <w:rPr>
          <w:b/>
        </w:rPr>
        <w:t>Agreement</w:t>
      </w:r>
      <w:r>
        <w:t>") between Chexbill LLC, a Delaware limited liability company ("</w:t>
      </w:r>
      <w:r>
        <w:rPr>
          <w:b/>
        </w:rPr>
        <w:t>Chexbill</w:t>
      </w:r>
      <w:r>
        <w:t>"), and the customer that accepted the Agreement ("</w:t>
      </w:r>
      <w:r>
        <w:rPr>
          <w:b/>
        </w:rPr>
        <w:t>Customer</w:t>
      </w:r>
      <w:r>
        <w:t>"). It applies automatically whenever Chexbill processes Personal Data on Customer's behalf. Customer can request a countersigned copy from privacy@chexbill.com. [ATTORNEY REVIEW: the template was drafted for countersignature; this DPA now applies by incorporation into the Terms. Confirm this execution model.]</w:t>
      </w:r>
    </w:p>
    <w:p>
      <w:pPr>
        <w:pStyle w:val="Heading2"/>
      </w:pPr>
      <w:r>
        <w:t>1. Definitions</w:t>
      </w:r>
    </w:p>
    <w:p>
      <w:r>
        <w:t>Capitalized terms not defined in this DPA have the meanings given in the Agreement.</w:t>
      </w:r>
    </w:p>
    <w:p>
      <w:pPr>
        <w:pStyle w:val="ListBullet"/>
      </w:pPr>
      <w:r>
        <w:t>"</w:t>
      </w:r>
      <w:r>
        <w:rPr>
          <w:b/>
        </w:rPr>
        <w:t>Data Protection Laws</w:t>
      </w:r>
      <w:r>
        <w:t>" means the U.S. federal and state privacy and data security laws that apply to Chexbill's processing of Personal Data under the Agreement, including the State Privacy Laws.</w:t>
      </w:r>
    </w:p>
    <w:p>
      <w:pPr>
        <w:pStyle w:val="ListBullet"/>
      </w:pPr>
      <w:r>
        <w:t>"</w:t>
      </w:r>
      <w:r>
        <w:rPr>
          <w:b/>
        </w:rPr>
        <w:t>Personal Data</w:t>
      </w:r>
      <w:r>
        <w:t>" means Customer Data that is "personal data," "personal information," or similar information regulated by Data Protection Laws. It does not include information Chexbill collects on its own behalf and handles under its Privacy Policy, such as the account details of Customer's users, Chexbill Payments applications, and information about use of the Service.</w:t>
      </w:r>
    </w:p>
    <w:p>
      <w:pPr>
        <w:pStyle w:val="ListBullet"/>
      </w:pPr>
      <w:r>
        <w:t>"</w:t>
      </w:r>
      <w:r>
        <w:rPr>
          <w:b/>
        </w:rPr>
        <w:t>Process</w:t>
      </w:r>
      <w:r>
        <w:t>" means any operation performed on Personal Data, such as collecting, storing, using, disclosing, or deleting it.</w:t>
      </w:r>
    </w:p>
    <w:p>
      <w:pPr>
        <w:pStyle w:val="ListBullet"/>
      </w:pPr>
      <w:r>
        <w:t>"</w:t>
      </w:r>
      <w:r>
        <w:rPr>
          <w:b/>
        </w:rPr>
        <w:t>Security Incident</w:t>
      </w:r>
      <w:r>
        <w:t>" means a breach of Chexbill's security leading to the accidental or unlawful destruction, loss, alteration, or unauthorized disclosure of, or access to, Personal Data. It does not include unsuccessful attempts, such as failed log-ins, pings, or port scans.</w:t>
      </w:r>
    </w:p>
    <w:p>
      <w:pPr>
        <w:pStyle w:val="ListBullet"/>
      </w:pPr>
      <w:r>
        <w:t>"</w:t>
      </w:r>
      <w:r>
        <w:rPr>
          <w:b/>
        </w:rPr>
        <w:t>State Privacy Laws</w:t>
      </w:r>
      <w:r>
        <w:t>" means the comprehensive U.S. state privacy laws, and their regulations, that apply to Chexbill's processing of Personal Data under the Agreement.</w:t>
      </w:r>
    </w:p>
    <w:p>
      <w:pPr>
        <w:pStyle w:val="ListBullet"/>
      </w:pPr>
      <w:r>
        <w:t>"</w:t>
      </w:r>
      <w:r>
        <w:rPr>
          <w:b/>
        </w:rPr>
        <w:t>Subprocessor</w:t>
      </w:r>
      <w:r>
        <w:t>" means a third party that Chexbill engages to Process Personal Data.</w:t>
      </w:r>
    </w:p>
    <w:p>
      <w:pPr>
        <w:pStyle w:val="Heading2"/>
      </w:pPr>
      <w:r>
        <w:t>2. Scope</w:t>
      </w:r>
    </w:p>
    <w:p>
      <w:r>
        <w:t>This DPA applies for as long as Chexbill Processes Personal Data, even after the Agreement ends. The details of the processing are in Annex 1. Annex 2 applies to Personal Data subject to State Privacy Laws.</w:t>
      </w:r>
    </w:p>
    <w:p>
      <w:pPr>
        <w:pStyle w:val="Heading2"/>
      </w:pPr>
      <w:r>
        <w:t>3. Instructions</w:t>
      </w:r>
    </w:p>
    <w:p>
      <w:r>
        <w:t>Chexbill will Process Personal Data only on Customer's documented instructions. Customer instructs Chexbill to Process Personal Data to provide the Service and to perform its obligations and exercise its rights under the Agreement, including this DPA. Any further instructions must be consistent with the Agreement, and instructions that go beyond the Service require a written agreement between the parties.</w:t>
      </w:r>
    </w:p>
    <w:p>
      <w:pPr>
        <w:pStyle w:val="Heading2"/>
      </w:pPr>
      <w:r>
        <w:t>4. Security</w:t>
      </w:r>
    </w:p>
    <w:p>
      <w:r>
        <w:t xml:space="preserve">(a) </w:t>
      </w:r>
      <w:r>
        <w:rPr>
          <w:b/>
        </w:rPr>
        <w:t>Security Measures.</w:t>
      </w:r>
      <w:r>
        <w:t xml:space="preserve"> Chexbill will maintain technical and organizational measures designed to protect Personal Data, as described in Annex 3 (the "</w:t>
      </w:r>
      <w:r>
        <w:rPr>
          <w:b/>
        </w:rPr>
        <w:t>Security Measures</w:t>
      </w:r>
      <w:r>
        <w:t>"), taking into account the state of the art, the costs of implementation, and the nature of the processing and its risks. Chexbill may update them as long as the overall protection of Personal Data is not materially reduced.</w:t>
      </w:r>
    </w:p>
    <w:p>
      <w:r>
        <w:t xml:space="preserve">(b) </w:t>
      </w:r>
      <w:r>
        <w:rPr>
          <w:b/>
        </w:rPr>
        <w:t>Personnel.</w:t>
      </w:r>
      <w:r>
        <w:t xml:space="preserve"> Chexbill will ensure that personnel authorized to access Personal Data are bound by confidentiality obligations.</w:t>
      </w:r>
    </w:p>
    <w:p>
      <w:r>
        <w:t xml:space="preserve">(c) </w:t>
      </w:r>
      <w:r>
        <w:rPr>
          <w:b/>
        </w:rPr>
        <w:t>Security Incidents.</w:t>
      </w:r>
      <w:r>
        <w:t xml:space="preserve"> Chexbill will notify Customer without undue delay after becoming aware of a Security Incident, with the details then known, the steps taken to reduce the risks, and the steps Chexbill recommends Customer take. Chexbill will reasonably cooperate with Customer's investigation. Notifying or responding to a Security Incident is not an admission of fault. Customer is responsible for any notices it must give to regulators, individuals, or others, and, where the law permits, will consult Chexbill in advance about any notice that refers to Chexbill.</w:t>
      </w:r>
    </w:p>
    <w:p>
      <w:r>
        <w:t xml:space="preserve">(d) </w:t>
      </w:r>
      <w:r>
        <w:rPr>
          <w:b/>
        </w:rPr>
        <w:t>Customer's Responsibilities.</w:t>
      </w:r>
      <w:r>
        <w:t xml:space="preserve"> Customer is responsible for its own use of the Service, including securing its login credentials and devices and keeping backups as needed, and has determined that the Security Measures are adequate for its needs.</w:t>
      </w:r>
    </w:p>
    <w:p>
      <w:pPr>
        <w:pStyle w:val="Heading2"/>
      </w:pPr>
      <w:r>
        <w:t>5. Requests from Individuals</w:t>
      </w:r>
    </w:p>
    <w:p>
      <w:r>
        <w:t>Chexbill will give Customer reasonable, technically feasible help to respond to individuals exercising their rights under Data Protection Laws. Help that goes beyond the Service may be charged at Chexbill's current rates, and Chexbill will provide an estimate on request. If Chexbill receives a request directly, it will tell Customer (unless the law prohibits this) and refer the individual to Customer, who is responsible for responding.</w:t>
      </w:r>
    </w:p>
    <w:p>
      <w:pPr>
        <w:pStyle w:val="Heading2"/>
      </w:pPr>
      <w:r>
        <w:t>6. Customer Responsibilities</w:t>
      </w:r>
    </w:p>
    <w:p>
      <w:r>
        <w:t>(a) Customer will give all notices and obtain all consents needed for Chexbill to Process Personal Data under the Agreement.</w:t>
      </w:r>
    </w:p>
    <w:p>
      <w:r>
        <w:t>(b) Customer represents and warrants that Customer Data does not and will not contain any of the following ("</w:t>
      </w:r>
      <w:r>
        <w:rPr>
          <w:b/>
        </w:rPr>
        <w:t>Restricted Data</w:t>
      </w:r>
      <w:r>
        <w:t>"), except Permitted Sensitive Data: government identification numbers, including Social Security numbers; health information, including information subject to HIPAA, and health insurance information; biometric information; credentials for third-party or financial accounts (other than credentials for the Service); tax return data; payment card data subject to the Payment Card Industry Data Security Standard; personal data of children under 16; or any other special or sensitive category of data under Data Protection Laws. "</w:t>
      </w:r>
      <w:r>
        <w:rPr>
          <w:b/>
        </w:rPr>
        <w:t>Permitted Sensitive Data</w:t>
      </w:r>
      <w:r>
        <w:t>" means the following, submitted only through the features of the Service designed for them: (i) taxpayer identification numbers of Customer and its vendors and contractors, with related payment and information-return data, for preparing and filing information returns (such as IRS Form 1099); (ii) bank account and routing numbers of Customer or its vendors, for recording or making payments; and (iii) account and transaction data from financial accounts Customer connects to the Service. [ATTORNEY REVIEW: the template prohibited all government identification numbers and financial-account data; this carve-out exists because the Service's 1099-filing, bill-payment, and bank-feed features need them. Confirm it is narrow enough.]</w:t>
      </w:r>
    </w:p>
    <w:p>
      <w:pPr>
        <w:pStyle w:val="Heading2"/>
      </w:pPr>
      <w:r>
        <w:t>7. Subprocessors</w:t>
      </w:r>
    </w:p>
    <w:p>
      <w:r>
        <w:t xml:space="preserve">(a) </w:t>
      </w:r>
      <w:r>
        <w:rPr>
          <w:b/>
        </w:rPr>
        <w:t>Authorization.</w:t>
      </w:r>
      <w:r>
        <w:t xml:space="preserve"> Customer authorizes Chexbill to use the Subprocessors listed in Annex 4 and at https://chexbill.com/subprocessors (the "</w:t>
      </w:r>
      <w:r>
        <w:rPr>
          <w:b/>
        </w:rPr>
        <w:t>Subprocessor Page</w:t>
      </w:r>
      <w:r>
        <w:t>").</w:t>
      </w:r>
    </w:p>
    <w:p>
      <w:r>
        <w:t xml:space="preserve">(b) </w:t>
      </w:r>
      <w:r>
        <w:rPr>
          <w:b/>
        </w:rPr>
        <w:t>Contracts.</w:t>
      </w:r>
      <w:r>
        <w:t xml:space="preserve"> Chexbill will bind each Subprocessor by a written contract with data protection obligations no less protective than this DPA, to the extent relevant to its services, and remains responsible and liable for each Subprocessor's acts and omissions as if they were its own.</w:t>
      </w:r>
    </w:p>
    <w:p>
      <w:r>
        <w:t xml:space="preserve">(c) </w:t>
      </w:r>
      <w:r>
        <w:rPr>
          <w:b/>
        </w:rPr>
        <w:t>New Subprocessors.</w:t>
      </w:r>
      <w:r>
        <w:t xml:space="preserve"> Chexbill will notify Customer of a new Subprocessor by updating the Subprocessor Page and emailing Customer's Administrator. Customer may object on reasonable data protection grounds within 15 days of the notice. The parties will try in good faith to resolve the objection; if they cannot, Customer's only remedy is to terminate the Agreement, paying any amounts owed up to that date.</w:t>
      </w:r>
    </w:p>
    <w:p>
      <w:pPr>
        <w:pStyle w:val="Heading2"/>
      </w:pPr>
      <w:r>
        <w:t>8. Audits</w:t>
      </w:r>
    </w:p>
    <w:p>
      <w:r>
        <w:t>Where Data Protection Laws require it, Chexbill will make available on request the information reasonably needed to show that it complies with this DPA. Customer may audit Chexbill's compliance once a year, or more often if a law or regulator requires it, on at least two weeks' written notice and under an audit plan agreed in advance. Audits must take place during business hours, under a confidentiality agreement, without unreasonably disrupting Chexbill's business, and at Customer's expense, including Chexbill's reasonable costs. Chexbill may object to an auditor who is not independent or is a competitor. If a SOC 2 Type 2, ISO, or similar third-party report from the last 12 months covers the controls in question, and Chexbill confirms there have been no known material changes since, Customer will accept that report instead of an audit of those controls.</w:t>
      </w:r>
    </w:p>
    <w:p>
      <w:pPr>
        <w:pStyle w:val="Heading2"/>
      </w:pPr>
      <w:r>
        <w:t>9. Return and Deletion</w:t>
      </w:r>
    </w:p>
    <w:p>
      <w:r>
        <w:t>(a) Customer can export its Customer Data at any time before its Organization is deleted under the Agreement, whether by Customer or by Chexbill after the notice the Agreement requires (the date of deletion is the "</w:t>
      </w:r>
      <w:r>
        <w:rPr>
          <w:b/>
        </w:rPr>
        <w:t>Cessation Date</w:t>
      </w:r>
      <w:r>
        <w:t>"). After the Cessation Date, Chexbill will stop Processing Personal Data except as needed to return, delete, or anonymize it, or as Section 9(c) permits.</w:t>
      </w:r>
    </w:p>
    <w:p>
      <w:r>
        <w:t>(b) Within 30 days after the Cessation Date, Customer may ask Chexbill in writing to return or delete the remaining Personal Data. Where technically feasible, Chexbill will either return a copy and then delete it or, at its option, delete it. If Customer makes no request, Chexbill will delete or anonymize the Personal Data within a commercially reasonable time after the 30-day period.</w:t>
      </w:r>
    </w:p>
    <w:p>
      <w:r>
        <w:t>(c) Copies in backups are overwritten in the ordinary course within Chexbill's backup retention period [TBD — needs attorney/founder decision: state the backup retention window] and remain protected by the Security Measures until then. Chexbill may keep Personal Data where the law permits or requires, for no longer than the law requires, and will protect it and use it only for that purpose.</w:t>
      </w:r>
    </w:p>
    <w:p>
      <w:pPr>
        <w:pStyle w:val="Heading2"/>
      </w:pPr>
      <w:r>
        <w:t>10. Artificial Intelligence</w:t>
      </w:r>
    </w:p>
    <w:p>
      <w:r>
        <w:t>(a) Chexbill will not use Personal Data to train, fine-tune, or improve any artificial intelligence or machine learning model, its own or a third party's, unless that is reasonably necessary to provide the Service under Customer's instructions or Customer authorizes it in writing.</w:t>
      </w:r>
    </w:p>
    <w:p>
      <w:r>
        <w:t>(b) Chexbill will prohibit its Subprocessors, including AI model providers, from using Personal Data to train or improve their own models, unless Customer authorizes it in writing.</w:t>
      </w:r>
    </w:p>
    <w:p>
      <w:pPr>
        <w:pStyle w:val="Heading2"/>
      </w:pPr>
      <w:r>
        <w:t>11. General</w:t>
      </w:r>
    </w:p>
    <w:p>
      <w:r>
        <w:t>(a) If this DPA conflicts with the rest of the Agreement, this DPA controls.</w:t>
      </w:r>
    </w:p>
    <w:p>
      <w:r>
        <w:t>(b) Each party's liability under this DPA is subject to the limitations and exclusions of liability in the Agreement.</w:t>
      </w:r>
    </w:p>
    <w:p>
      <w:r>
        <w:t>(c) Chexbill may update this DPA on notice to Customer as needed to comply with Data Protection Laws, as long as the update does not materially reduce the protection of Personal Data or materially increase Customer's obligations.</w:t>
      </w:r>
    </w:p>
    <w:p>
      <w:r>
        <w:t>(d) Chexbill may send notices under this DPA to the email address of Customer's Administrator, to any other address Customer designates, or as the Agreement allows. Customer is responsible for keeping these addresses current.</w:t>
      </w:r>
    </w:p>
    <w:p>
      <w:pPr>
        <w:pStyle w:val="Heading2"/>
      </w:pPr>
      <w:r>
        <w:t>Annex 1 — Processing Details</w:t>
      </w:r>
    </w:p>
    <w:p>
      <w:pPr>
        <w:pStyle w:val="ListBullet"/>
      </w:pPr>
      <w:r>
        <w:rPr>
          <w:b/>
        </w:rPr>
        <w:t>Roles:</w:t>
      </w:r>
      <w:r>
        <w:t xml:space="preserve"> Customer is the business or controller. Chexbill is Customer's service provider or processor.</w:t>
      </w:r>
    </w:p>
    <w:p>
      <w:pPr>
        <w:pStyle w:val="ListBullet"/>
      </w:pPr>
      <w:r>
        <w:rPr>
          <w:b/>
        </w:rPr>
        <w:t>Chexbill:</w:t>
      </w:r>
      <w:r>
        <w:t xml:space="preserve"> Chexbill LLC, 257 Chapman Rd #208, Newark, DE 19702; privacy@chexbill.com.</w:t>
      </w:r>
    </w:p>
    <w:p>
      <w:pPr>
        <w:pStyle w:val="ListBullet"/>
      </w:pPr>
      <w:r>
        <w:rPr>
          <w:b/>
        </w:rPr>
        <w:t>Customer:</w:t>
      </w:r>
      <w:r>
        <w:t xml:space="preserve"> the business that accepted the Agreement. Contact: the email address of its Administrator, unless Customer designates another contact in writing.</w:t>
      </w:r>
    </w:p>
    <w:p>
      <w:pPr>
        <w:pStyle w:val="ListBullet"/>
      </w:pPr>
      <w:r>
        <w:rPr>
          <w:b/>
        </w:rPr>
        <w:t>Individuals:</w:t>
      </w:r>
      <w:r>
        <w:t xml:space="preserve"> Customer's customers and clients (including people who pay Customer's invoices), vendors and contractors, personnel, and other business contacts.</w:t>
      </w:r>
    </w:p>
    <w:p>
      <w:pPr>
        <w:pStyle w:val="ListBullet"/>
      </w:pPr>
      <w:r>
        <w:rPr>
          <w:b/>
        </w:rPr>
        <w:t>Personal Data:</w:t>
      </w:r>
      <w:r>
        <w:t xml:space="preserve"> names and contact details; invoice, estimate, bill, expense, and payment records, and the documents Customer uploads; and, as Permitted Sensitive Data, bank account and routing numbers, bank transaction data, and taxpayer identification numbers.</w:t>
      </w:r>
    </w:p>
    <w:p>
      <w:pPr>
        <w:pStyle w:val="ListBullet"/>
      </w:pPr>
      <w:r>
        <w:rPr>
          <w:b/>
        </w:rPr>
        <w:t>Sensitive data:</w:t>
      </w:r>
      <w:r>
        <w:t xml:space="preserve"> Permitted Sensitive Data only (Section 6(b)), protected by the Security Measures.</w:t>
      </w:r>
    </w:p>
    <w:p>
      <w:pPr>
        <w:pStyle w:val="ListBullet"/>
      </w:pPr>
      <w:r>
        <w:rPr>
          <w:b/>
        </w:rPr>
        <w:t>Nature, purpose, and frequency:</w:t>
      </w:r>
      <w:r>
        <w:t xml:space="preserve"> ongoing processing needed to provide the Service under the Agreement and Customer's instructions.</w:t>
      </w:r>
    </w:p>
    <w:p>
      <w:pPr>
        <w:pStyle w:val="ListBullet"/>
      </w:pPr>
      <w:r>
        <w:rPr>
          <w:b/>
        </w:rPr>
        <w:t>Duration:</w:t>
      </w:r>
      <w:r>
        <w:t xml:space="preserve"> as set out in the Agreement and Section 9.</w:t>
      </w:r>
    </w:p>
    <w:p>
      <w:pPr>
        <w:pStyle w:val="ListBullet"/>
      </w:pPr>
      <w:r>
        <w:rPr>
          <w:b/>
        </w:rPr>
        <w:t>Subprocessors:</w:t>
      </w:r>
      <w:r>
        <w:t xml:space="preserve"> see Annex 4 and the Subprocessor Page.</w:t>
      </w:r>
    </w:p>
    <w:p>
      <w:pPr>
        <w:pStyle w:val="Heading2"/>
      </w:pPr>
      <w:r>
        <w:t>Annex 2 — State Privacy Laws</w:t>
      </w:r>
    </w:p>
    <w:p>
      <w:r>
        <w:t>Where Personal Data is subject to State Privacy Laws, terms such as "business," "controller," "processor," "service provider," "contractor," "commercial purpose," "sell," and "share" have the meanings given in those laws, and:</w:t>
      </w:r>
    </w:p>
    <w:p>
      <w:r>
        <w:t>(a) Chexbill is Customer's service provider, contractor, or processor, and receives Personal Data only for the limited and specified purposes in the Agreement.</w:t>
      </w:r>
    </w:p>
    <w:p>
      <w:r>
        <w:t>(b) Chexbill will not sell or share Personal Data; retain, use, or disclose it for any purpose (including any commercial purpose) other than providing the Service, or as those laws otherwise permit; retain, use, or disclose it outside its direct business relationship with Customer; or combine it with personal data received from others or collected through Chexbill's own interactions with the individual, except as those laws permit and the Service requires.</w:t>
      </w:r>
    </w:p>
    <w:p>
      <w:r>
        <w:t>(c) Chexbill will comply with the State Privacy Laws, provide the level of privacy protection they require, and notify Customer if it determines that it can no longer meet its obligations under them.</w:t>
      </w:r>
    </w:p>
    <w:p>
      <w:r>
        <w:t>(d) Customer may take reasonable and appropriate steps to ensure that Chexbill's processing is consistent with Customer's obligations under those laws, including audits under Section 8, and, on reasonable notice, to stop and remediate any unauthorized use of Personal Data.</w:t>
      </w:r>
    </w:p>
    <w:p>
      <w:r>
        <w:t>(e) Notice of new Subprocessors under Section 7 satisfies any notice and objection requirement under those laws.</w:t>
      </w:r>
    </w:p>
    <w:p>
      <w:r>
        <w:t>(f) Chexbill's access to Personal Data is not part of the consideration exchanged under the Agreement, and its processing on Customer's instructions is integral to the Service. Chexbill certifies that it understands and will comply with this Annex 2.</w:t>
      </w:r>
    </w:p>
    <w:p>
      <w:pPr>
        <w:pStyle w:val="Heading2"/>
      </w:pPr>
      <w:r>
        <w:t>Annex 3 — Security Measures</w:t>
      </w:r>
    </w:p>
    <w:p>
      <w:r>
        <w:t>The Security Measures are designed to provide the following, taking into account the matters in Section 4(a):</w:t>
      </w:r>
    </w:p>
    <w:p>
      <w:pPr>
        <w:pStyle w:val="ListBullet"/>
      </w:pPr>
      <w:r>
        <w:t>A person responsible for Chexbill's information security program, and periodic risk assessments.</w:t>
      </w:r>
    </w:p>
    <w:p>
      <w:pPr>
        <w:pStyle w:val="ListBullet"/>
      </w:pPr>
      <w:r>
        <w:t>Role-based, least-privilege access with unique user accounts and multi-factor authentication where appropriate, reviewed periodically and removed promptly when a role changes.</w:t>
      </w:r>
    </w:p>
    <w:p>
      <w:pPr>
        <w:pStyle w:val="ListBullet"/>
      </w:pPr>
      <w:r>
        <w:t>Encryption of Personal Data in transit over public networks and at rest, or materially equivalent safeguards.</w:t>
      </w:r>
    </w:p>
    <w:p>
      <w:pPr>
        <w:pStyle w:val="ListBullet"/>
      </w:pPr>
      <w:r>
        <w:t>Logical separation of each customer's data.</w:t>
      </w:r>
    </w:p>
    <w:p>
      <w:pPr>
        <w:pStyle w:val="ListBullet"/>
      </w:pPr>
      <w:r>
        <w:t>Hashed and salted password storage and industry-standard password controls.</w:t>
      </w:r>
    </w:p>
    <w:p>
      <w:pPr>
        <w:pStyle w:val="ListBullet"/>
      </w:pPr>
      <w:r>
        <w:t>Logging and monitoring of system access and activity.</w:t>
      </w:r>
    </w:p>
    <w:p>
      <w:pPr>
        <w:pStyle w:val="ListBullet"/>
      </w:pPr>
      <w:r>
        <w:t>Network protections such as firewalls, segmentation, and intrusion detection or prevention; vulnerability management, timely patching, and protection against malicious code.</w:t>
      </w:r>
    </w:p>
    <w:p>
      <w:pPr>
        <w:pStyle w:val="ListBullet"/>
      </w:pPr>
      <w:r>
        <w:t>Secure configuration and maintenance of systems, and secure disposal of systems and media.</w:t>
      </w:r>
    </w:p>
    <w:p>
      <w:pPr>
        <w:pStyle w:val="ListBullet"/>
      </w:pPr>
      <w:r>
        <w:t>Change management for material changes to systems that process Personal Data.</w:t>
      </w:r>
    </w:p>
    <w:p>
      <w:pPr>
        <w:pStyle w:val="ListBullet"/>
      </w:pPr>
      <w:r>
        <w:t>Incident response procedures.</w:t>
      </w:r>
    </w:p>
    <w:p>
      <w:pPr>
        <w:pStyle w:val="ListBullet"/>
      </w:pPr>
      <w:r>
        <w:t>Backups and disaster recovery procedures.</w:t>
      </w:r>
    </w:p>
    <w:p>
      <w:pPr>
        <w:pStyle w:val="ListBullet"/>
      </w:pPr>
      <w:r>
        <w:t>Physical and environmental security through the data centers of Chexbill's hosting providers.</w:t>
      </w:r>
    </w:p>
    <w:p>
      <w:pPr>
        <w:pStyle w:val="Heading2"/>
      </w:pPr>
      <w:r>
        <w:t>Annex 4 — Subprocessors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Subprocessor</w:t>
            </w:r>
          </w:p>
        </w:tc>
        <w:tc>
          <w:tcPr>
            <w:tcW w:type="dxa" w:w="2880"/>
          </w:tcPr>
          <w:p>
            <w:r>
              <w:rPr>
                <w:b/>
              </w:rPr>
            </w:r>
            <w:r>
              <w:rPr>
                <w:b/>
              </w:rPr>
              <w:t>Location</w:t>
            </w:r>
          </w:p>
        </w:tc>
        <w:tc>
          <w:tcPr>
            <w:tcW w:type="dxa" w:w="2880"/>
          </w:tcPr>
          <w:p>
            <w:r>
              <w:rPr>
                <w:b/>
              </w:rPr>
            </w:r>
            <w:r>
              <w:rPr>
                <w:b/>
              </w:rPr>
              <w:t>Service</w:t>
            </w:r>
          </w:p>
        </w:tc>
      </w:tr>
      <w:tr>
        <w:tc>
          <w:tcPr>
            <w:tcW w:type="dxa" w:w="2880"/>
          </w:tcPr>
          <w:p>
            <w:r/>
            <w:r>
              <w:t>Vercel Inc.</w:t>
            </w:r>
          </w:p>
        </w:tc>
        <w:tc>
          <w:tcPr>
            <w:tcW w:type="dxa" w:w="2880"/>
          </w:tcPr>
          <w:p>
            <w:r/>
            <w:r>
              <w:t>United States</w:t>
            </w:r>
          </w:p>
        </w:tc>
        <w:tc>
          <w:tcPr>
            <w:tcW w:type="dxa" w:w="2880"/>
          </w:tcPr>
          <w:p>
            <w:r/>
            <w:r>
              <w:t>Web application hosting and content delivery</w:t>
            </w:r>
          </w:p>
        </w:tc>
      </w:tr>
      <w:tr>
        <w:tc>
          <w:tcPr>
            <w:tcW w:type="dxa" w:w="2880"/>
          </w:tcPr>
          <w:p>
            <w:r/>
            <w:r>
              <w:t>Supabase, Inc.</w:t>
            </w:r>
          </w:p>
        </w:tc>
        <w:tc>
          <w:tcPr>
            <w:tcW w:type="dxa" w:w="2880"/>
          </w:tcPr>
          <w:p>
            <w:r/>
            <w:r>
              <w:t>United States (U.S. data region)</w:t>
            </w:r>
          </w:p>
        </w:tc>
        <w:tc>
          <w:tcPr>
            <w:tcW w:type="dxa" w:w="2880"/>
          </w:tcPr>
          <w:p>
            <w:r/>
            <w:r>
              <w:t>Database and file storage for Customer Data, including uploaded documents</w:t>
            </w:r>
          </w:p>
        </w:tc>
      </w:tr>
      <w:tr>
        <w:tc>
          <w:tcPr>
            <w:tcW w:type="dxa" w:w="2880"/>
          </w:tcPr>
          <w:p>
            <w:r/>
            <w:r>
              <w:t>Upstash, Inc.</w:t>
            </w:r>
          </w:p>
        </w:tc>
        <w:tc>
          <w:tcPr>
            <w:tcW w:type="dxa" w:w="2880"/>
          </w:tcPr>
          <w:p>
            <w:r/>
            <w:r>
              <w:t>United States</w:t>
            </w:r>
          </w:p>
        </w:tc>
        <w:tc>
          <w:tcPr>
            <w:tcW w:type="dxa" w:w="2880"/>
          </w:tcPr>
          <w:p>
            <w:r/>
            <w:r>
              <w:t>Job queueing and caching infrastructure</w:t>
            </w:r>
          </w:p>
        </w:tc>
      </w:tr>
      <w:tr>
        <w:tc>
          <w:tcPr>
            <w:tcW w:type="dxa" w:w="2880"/>
          </w:tcPr>
          <w:p>
            <w:r/>
            <w:r>
              <w:t>Clerk, Inc.</w:t>
            </w:r>
          </w:p>
        </w:tc>
        <w:tc>
          <w:tcPr>
            <w:tcW w:type="dxa" w:w="2880"/>
          </w:tcPr>
          <w:p>
            <w:r/>
            <w:r>
              <w:t>United States</w:t>
            </w:r>
          </w:p>
        </w:tc>
        <w:tc>
          <w:tcPr>
            <w:tcW w:type="dxa" w:w="2880"/>
          </w:tcPr>
          <w:p>
            <w:r/>
            <w:r>
              <w:t>User authentication and session management</w:t>
            </w:r>
          </w:p>
        </w:tc>
      </w:tr>
      <w:tr>
        <w:tc>
          <w:tcPr>
            <w:tcW w:type="dxa" w:w="2880"/>
          </w:tcPr>
          <w:p>
            <w:r/>
            <w:r>
              <w:t>Google LLC (Gemini API)</w:t>
            </w:r>
          </w:p>
        </w:tc>
        <w:tc>
          <w:tcPr>
            <w:tcW w:type="dxa" w:w="2880"/>
          </w:tcPr>
          <w:p>
            <w:r/>
            <w:r>
              <w:t>United States</w:t>
            </w:r>
          </w:p>
        </w:tc>
        <w:tc>
          <w:tcPr>
            <w:tcW w:type="dxa" w:w="2880"/>
          </w:tcPr>
          <w:p>
            <w:r/>
            <w:r>
              <w:t>AI-based extraction of data from uploaded receipts and bills</w:t>
            </w:r>
          </w:p>
        </w:tc>
      </w:tr>
      <w:tr>
        <w:tc>
          <w:tcPr>
            <w:tcW w:type="dxa" w:w="2880"/>
          </w:tcPr>
          <w:p>
            <w:r/>
            <w:r>
              <w:t>Plaid Inc.</w:t>
            </w:r>
          </w:p>
        </w:tc>
        <w:tc>
          <w:tcPr>
            <w:tcW w:type="dxa" w:w="2880"/>
          </w:tcPr>
          <w:p>
            <w:r/>
            <w:r>
              <w:t>United States</w:t>
            </w:r>
          </w:p>
        </w:tc>
        <w:tc>
          <w:tcPr>
            <w:tcW w:type="dxa" w:w="2880"/>
          </w:tcPr>
          <w:p>
            <w:r/>
            <w:r>
              <w:t>Bank account connections and retrieval of transaction data at Customer's direction</w:t>
            </w:r>
          </w:p>
        </w:tc>
      </w:tr>
      <w:tr>
        <w:tc>
          <w:tcPr>
            <w:tcW w:type="dxa" w:w="2880"/>
          </w:tcPr>
          <w:p>
            <w:r/>
            <w:r>
              <w:t>CardConnect, LLC (a Fiserv company)</w:t>
            </w:r>
          </w:p>
        </w:tc>
        <w:tc>
          <w:tcPr>
            <w:tcW w:type="dxa" w:w="2880"/>
          </w:tcPr>
          <w:p>
            <w:r/>
            <w:r>
              <w:t>United States</w:t>
            </w:r>
          </w:p>
        </w:tc>
        <w:tc>
          <w:tcPr>
            <w:tcW w:type="dxa" w:w="2880"/>
          </w:tcPr>
          <w:p>
            <w:r/>
            <w:r>
              <w:t>Payment processing for payments Customer accepts through the Service, including Payor payment details</w:t>
            </w:r>
          </w:p>
        </w:tc>
      </w:tr>
      <w:tr>
        <w:tc>
          <w:tcPr>
            <w:tcW w:type="dxa" w:w="2880"/>
          </w:tcPr>
          <w:p>
            <w:r/>
            <w:r>
              <w:t>SPAN Enterprises LLC (TaxBandits)</w:t>
            </w:r>
          </w:p>
        </w:tc>
        <w:tc>
          <w:tcPr>
            <w:tcW w:type="dxa" w:w="2880"/>
          </w:tcPr>
          <w:p>
            <w:r/>
            <w:r>
              <w:t>United States</w:t>
            </w:r>
          </w:p>
        </w:tc>
        <w:tc>
          <w:tcPr>
            <w:tcW w:type="dxa" w:w="2880"/>
          </w:tcPr>
          <w:p>
            <w:r/>
            <w:r>
              <w:t>Electronic filing of information returns at Customer's direction</w:t>
            </w:r>
          </w:p>
        </w:tc>
      </w:tr>
      <w:tr>
        <w:tc>
          <w:tcPr>
            <w:tcW w:type="dxa" w:w="2880"/>
          </w:tcPr>
          <w:p>
            <w:r/>
            <w:r>
              <w:t>Brevo (Sendinblue SAS and its U.S. affiliate)</w:t>
            </w:r>
          </w:p>
        </w:tc>
        <w:tc>
          <w:tcPr>
            <w:tcW w:type="dxa" w:w="2880"/>
          </w:tcPr>
          <w:p>
            <w:r/>
            <w:r>
              <w:t>France / United States</w:t>
            </w:r>
          </w:p>
        </w:tc>
        <w:tc>
          <w:tcPr>
            <w:tcW w:type="dxa" w:w="2880"/>
          </w:tcPr>
          <w:p>
            <w:r/>
            <w:r>
              <w:t>Transactional and marketing email delivery</w:t>
            </w:r>
          </w:p>
        </w:tc>
      </w:tr>
      <w:tr>
        <w:tc>
          <w:tcPr>
            <w:tcW w:type="dxa" w:w="2880"/>
          </w:tcPr>
          <w:p>
            <w:r/>
            <w:r>
              <w:t>Zendesk, Inc.</w:t>
            </w:r>
          </w:p>
        </w:tc>
        <w:tc>
          <w:tcPr>
            <w:tcW w:type="dxa" w:w="2880"/>
          </w:tcPr>
          <w:p>
            <w:r/>
            <w:r>
              <w:t>United States</w:t>
            </w:r>
          </w:p>
        </w:tc>
        <w:tc>
          <w:tcPr>
            <w:tcW w:type="dxa" w:w="2880"/>
          </w:tcPr>
          <w:p>
            <w:r/>
            <w:r>
              <w:t>Customer support ticketing and help widget</w:t>
            </w:r>
          </w:p>
        </w:tc>
      </w:tr>
      <w:tr>
        <w:tc>
          <w:tcPr>
            <w:tcW w:type="dxa" w:w="2880"/>
          </w:tcPr>
          <w:p>
            <w:r/>
            <w:r>
              <w:t>Functional Software, Inc. (Sentry)</w:t>
            </w:r>
          </w:p>
        </w:tc>
        <w:tc>
          <w:tcPr>
            <w:tcW w:type="dxa" w:w="2880"/>
          </w:tcPr>
          <w:p>
            <w:r/>
            <w:r>
              <w:t>United States</w:t>
            </w:r>
          </w:p>
        </w:tc>
        <w:tc>
          <w:tcPr>
            <w:tcW w:type="dxa" w:w="2880"/>
          </w:tcPr>
          <w:p>
            <w:r/>
            <w:r>
              <w:t>Application error monitoring (may incidentally process identifiers in error reports)</w:t>
            </w:r>
          </w:p>
        </w:tc>
      </w:tr>
      <w:tr>
        <w:tc>
          <w:tcPr>
            <w:tcW w:type="dxa" w:w="2880"/>
          </w:tcPr>
          <w:p>
            <w:r/>
            <w:r>
              <w:t>PostHog, Inc.</w:t>
            </w:r>
          </w:p>
        </w:tc>
        <w:tc>
          <w:tcPr>
            <w:tcW w:type="dxa" w:w="2880"/>
          </w:tcPr>
          <w:p>
            <w:r/>
            <w:r>
              <w:t>United States</w:t>
            </w:r>
          </w:p>
        </w:tc>
        <w:tc>
          <w:tcPr>
            <w:tcW w:type="dxa" w:w="2880"/>
          </w:tcPr>
          <w:p>
            <w:r/>
            <w:r>
              <w:t>Product analytics</w:t>
            </w:r>
          </w:p>
        </w:tc>
      </w:tr>
    </w:tbl>
    <w:p/>
    <w:p>
      <w:r>
        <w:t>[TBD — needs attorney/founder decision: confirm each Subprocessor's legal entity name and processing location from its current terms before publication; currencyapi.com is omitted because it receives no Personal Data.]</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data-processing-addendum</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