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Notes for Counsel — Chexbill Legal Documents</w:t>
      </w:r>
    </w:p>
    <w:p>
      <w:r>
        <w:t xml:space="preserve">Prepared: October 20, 2026. These drafts were produced by adapting the General Legal templates in </w:t>
      </w:r>
      <w:r>
        <w:t>templates/</w:t>
      </w:r>
      <w:r>
        <w:t xml:space="preserve"> to the facts recorded in </w:t>
      </w:r>
      <w:r>
        <w:t>legal/company-facts.md</w:t>
      </w:r>
      <w:r>
        <w:t>. Neither the founder nor the drafter is a lawyer. Every judgment call, every unresolved fact, and every place where a template's assumptions may not fit Chexbill is listed here.</w:t>
      </w:r>
    </w:p>
    <w:p>
      <w:r>
        <w:rPr>
          <w:b/>
        </w:rPr>
        <w:t>Documents delivered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File</w:t>
            </w:r>
          </w:p>
        </w:tc>
        <w:tc>
          <w:tcPr>
            <w:tcW w:type="dxa" w:w="2880"/>
          </w:tcPr>
          <w:p>
            <w:r>
              <w:rPr>
                <w:b/>
              </w:rPr>
            </w:r>
            <w:r>
              <w:rPr>
                <w:b/>
              </w:rPr>
              <w:t>Source template</w:t>
            </w:r>
          </w:p>
        </w:tc>
        <w:tc>
          <w:tcPr>
            <w:tcW w:type="dxa" w:w="2880"/>
          </w:tcPr>
          <w:p>
            <w:r>
              <w:rPr>
                <w:b/>
              </w:rPr>
            </w:r>
            <w:r>
              <w:rPr>
                <w:b/>
              </w:rPr>
              <w:t>Status</w:t>
            </w:r>
          </w:p>
        </w:tc>
      </w:tr>
      <w:tr>
        <w:tc>
          <w:tcPr>
            <w:tcW w:type="dxa" w:w="2880"/>
          </w:tcPr>
          <w:p>
            <w:r/>
            <w:r>
              <w:t>output/terms-of-service.md</w:t>
            </w:r>
          </w:p>
        </w:tc>
        <w:tc>
          <w:tcPr>
            <w:tcW w:type="dxa" w:w="2880"/>
          </w:tcPr>
          <w:p>
            <w:r/>
            <w:r>
              <w:t>templates/terms-of-use/template.md</w:t>
            </w:r>
            <w:r>
              <w:t xml:space="preserve"> (+ fee, data, and warranty clauses adapted from </w:t>
            </w:r>
            <w:r>
              <w:t>templates/master-services-agreement/template.md</w:t>
            </w:r>
            <w:r>
              <w:t>)</w:t>
            </w:r>
          </w:p>
        </w:tc>
        <w:tc>
          <w:tcPr>
            <w:tcW w:type="dxa" w:w="2880"/>
          </w:tcPr>
          <w:p>
            <w:r/>
            <w:r>
              <w:t>Draft v1.0</w:t>
            </w:r>
          </w:p>
        </w:tc>
      </w:tr>
      <w:tr>
        <w:tc>
          <w:tcPr>
            <w:tcW w:type="dxa" w:w="2880"/>
          </w:tcPr>
          <w:p>
            <w:r/>
            <w:r>
              <w:t>output/privacy-policy.md</w:t>
            </w:r>
          </w:p>
        </w:tc>
        <w:tc>
          <w:tcPr>
            <w:tcW w:type="dxa" w:w="2880"/>
          </w:tcPr>
          <w:p>
            <w:r/>
            <w:r>
              <w:t>templates/privacy-policy-us/template.md</w:t>
            </w:r>
          </w:p>
        </w:tc>
        <w:tc>
          <w:tcPr>
            <w:tcW w:type="dxa" w:w="2880"/>
          </w:tcPr>
          <w:p>
            <w:r/>
            <w:r>
              <w:t>Draft</w:t>
            </w:r>
          </w:p>
        </w:tc>
      </w:tr>
      <w:tr>
        <w:tc>
          <w:tcPr>
            <w:tcW w:type="dxa" w:w="2880"/>
          </w:tcPr>
          <w:p>
            <w:r/>
            <w:r>
              <w:t>output/cookie-notice.md</w:t>
            </w:r>
          </w:p>
        </w:tc>
        <w:tc>
          <w:tcPr>
            <w:tcW w:type="dxa" w:w="2880"/>
          </w:tcPr>
          <w:p>
            <w:r/>
            <w:r>
              <w:t>templates/cookie-notice/template.md</w:t>
            </w:r>
          </w:p>
        </w:tc>
        <w:tc>
          <w:tcPr>
            <w:tcW w:type="dxa" w:w="2880"/>
          </w:tcPr>
          <w:p>
            <w:r/>
            <w:r>
              <w:t>Draft</w:t>
            </w:r>
          </w:p>
        </w:tc>
      </w:tr>
      <w:tr>
        <w:tc>
          <w:tcPr>
            <w:tcW w:type="dxa" w:w="2880"/>
          </w:tcPr>
          <w:p>
            <w:r/>
            <w:r>
              <w:t>output/data-processing-addendum.md</w:t>
            </w:r>
          </w:p>
        </w:tc>
        <w:tc>
          <w:tcPr>
            <w:tcW w:type="dxa" w:w="2880"/>
          </w:tcPr>
          <w:p>
            <w:r/>
            <w:r>
              <w:t>templates/dpa-us/template.md</w:t>
            </w:r>
          </w:p>
        </w:tc>
        <w:tc>
          <w:tcPr>
            <w:tcW w:type="dxa" w:w="2880"/>
          </w:tcPr>
          <w:p>
            <w:r/>
            <w:r>
              <w:t>Draft</w:t>
            </w:r>
          </w:p>
        </w:tc>
      </w:tr>
    </w:tbl>
    <w:p/>
    <w:p>
      <w:r>
        <w:rPr>
          <w:b/>
        </w:rPr>
        <w:t>Documents deliberately not produced:</w:t>
      </w:r>
      <w:r>
        <w:t xml:space="preserve"> Privacy Policy (GDPR) and DPA (Global) — Chexbill serves U.S. users only and has no EEA/UK establishment. MSA and Order Form — sales are self-serve click-through only. BAA — no protected health information. NDAs, Advisor Agreement, Offer Letter — not requested.</w:t>
      </w:r>
    </w:p>
    <w:p>
      <w:r>
        <w:t>________________________________________</w:t>
      </w:r>
    </w:p>
    <w:p>
      <w:pPr>
        <w:pStyle w:val="Heading2"/>
      </w:pPr>
      <w:r>
        <w:t>Part A — Changelog: what was adapted versus each template</w:t>
      </w:r>
    </w:p>
    <w:p>
      <w:pPr>
        <w:pStyle w:val="Heading3"/>
      </w:pPr>
      <w:r>
        <w:t>A.1 Terms of Service (from Terms of Use template)</w:t>
      </w:r>
    </w:p>
    <w:p>
      <w:r>
        <w:rPr>
          <w:b/>
        </w:rPr>
        <w:t>Structural changes</w:t>
      </w:r>
    </w:p>
    <w:p>
      <w:pPr>
        <w:pStyle w:val="ListBullet"/>
      </w:pPr>
      <w:r>
        <w:t>Retitled "Terms of Service" and the defined term changed from "Site" to "</w:t>
      </w:r>
      <w:r>
        <w:rPr>
          <w:b/>
        </w:rPr>
        <w:t>Service</w:t>
      </w:r>
      <w:r>
        <w:t>" (covering chexbill.com and app.chexbill.com) so that the Terms, Privacy Policy, Cookie Notice, and DPA share one concept. The template's "Site" language was replaced throughout.</w:t>
      </w:r>
    </w:p>
    <w:p>
      <w:pPr>
        <w:pStyle w:val="ListBullet"/>
      </w:pPr>
      <w:r>
        <w:t>Sections renumbered. Template §1–§11 map to output §1, §2, §3, §7, §8, §9, §10, §11, §13, §15, §16. New sections inserted: §4 Your Data and Content, §5 Subscriptions and Fees, §6 Chexbill Payments, §12 Copyright Complaints, §14 Accessibility (moved out of General). The arbitration warning in the preamble, the survival clause (§11), and all internal cross-references were updated to the new numbers.</w:t>
      </w:r>
    </w:p>
    <w:p>
      <w:pPr>
        <w:pStyle w:val="ListBullet"/>
      </w:pPr>
      <w:r>
        <w:t xml:space="preserve">Arbitration: </w:t>
      </w:r>
      <w:r>
        <w:rPr>
          <w:b/>
        </w:rPr>
        <w:t>Option A (JAMS)</w:t>
      </w:r>
      <w:r>
        <w:t xml:space="preserve"> kept; </w:t>
      </w:r>
      <w:r>
        <w:rPr>
          <w:b/>
        </w:rPr>
        <w:t>Option B (DecisionLayer)</w:t>
      </w:r>
      <w:r>
        <w:t xml:space="preserve"> deleted, including its drafting note.</w:t>
      </w:r>
    </w:p>
    <w:p>
      <w:r>
        <w:rPr>
          <w:b/>
        </w:rPr>
        <w:t>Filled from the fact sheet:</w:t>
      </w:r>
      <w:r>
        <w:t xml:space="preserve"> company name and entity type, domains, Newark DE address, emails (legal@ for notices and disputes, privacy@ for privacy and Nevada notice, support@ for general and accessibility), Delaware law, New Castle County venue, Delaware as the fallback court in §16.7, effective date, copyright line and trademarks.</w:t>
      </w:r>
    </w:p>
    <w:p>
      <w:r>
        <w:rPr>
          <w:b/>
        </w:rPr>
        <w:t>Clauses adapted (meaning changed from 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Output</w:t>
            </w:r>
          </w:p>
        </w:tc>
        <w:tc>
          <w:tcPr>
            <w:tcW w:type="dxa" w:w="2880"/>
          </w:tcPr>
          <w:p>
            <w:r>
              <w:rPr>
                <w:b/>
              </w:rPr>
            </w:r>
            <w:r>
              <w:rPr>
                <w:b/>
              </w:rPr>
              <w:t>Template</w:t>
            </w:r>
          </w:p>
        </w:tc>
        <w:tc>
          <w:tcPr>
            <w:tcW w:type="dxa" w:w="2880"/>
          </w:tcPr>
          <w:p>
            <w:r>
              <w:rPr>
                <w:b/>
              </w:rPr>
            </w:r>
            <w:r>
              <w:rPr>
                <w:b/>
              </w:rPr>
              <w:t>Change and reason</w:t>
            </w:r>
          </w:p>
        </w:tc>
      </w:tr>
      <w:tr>
        <w:tc>
          <w:tcPr>
            <w:tcW w:type="dxa" w:w="2880"/>
          </w:tcPr>
          <w:p>
            <w:r/>
            <w:r>
              <w:t>§1.1</w:t>
            </w:r>
          </w:p>
        </w:tc>
        <w:tc>
          <w:tcPr>
            <w:tcW w:type="dxa" w:w="2880"/>
          </w:tcPr>
          <w:p>
            <w:r/>
            <w:r>
              <w:t>§1.1</w:t>
            </w:r>
          </w:p>
        </w:tc>
        <w:tc>
          <w:tcPr>
            <w:tcW w:type="dxa" w:w="2880"/>
          </w:tcPr>
          <w:p>
            <w:r/>
            <w:r>
              <w:t>Added third-party sign-in (Google, Microsoft, Apple); deletion via "account settings".</w:t>
            </w:r>
          </w:p>
        </w:tc>
      </w:tr>
      <w:tr>
        <w:tc>
          <w:tcPr>
            <w:tcW w:type="dxa" w:w="2880"/>
          </w:tcPr>
          <w:p>
            <w:r/>
            <w:r>
              <w:t>§1.2–1.3</w:t>
            </w:r>
          </w:p>
        </w:tc>
        <w:tc>
          <w:tcPr>
            <w:tcW w:type="dxa" w:w="2880"/>
          </w:tcPr>
          <w:p>
            <w:r/>
            <w:r>
              <w:t>— (MSA §3.4 Authorized Users)</w:t>
            </w:r>
          </w:p>
        </w:tc>
        <w:tc>
          <w:tcPr>
            <w:tcW w:type="dxa" w:w="2880"/>
          </w:tcPr>
          <w:p>
            <w:r/>
            <w:r>
              <w:t>New: Organizations, Administrator, Authorized Users; responsibility for Authorized Users and "credentials cannot be shared" taken from the MSA.</w:t>
            </w:r>
          </w:p>
        </w:tc>
      </w:tr>
      <w:tr>
        <w:tc>
          <w:tcPr>
            <w:tcW w:type="dxa" w:w="2880"/>
          </w:tcPr>
          <w:p>
            <w:r/>
            <w:r>
              <w:t>§2.1</w:t>
            </w:r>
          </w:p>
        </w:tc>
        <w:tc>
          <w:tcPr>
            <w:tcW w:type="dxa" w:w="2880"/>
          </w:tcPr>
          <w:p>
            <w:r/>
            <w:r>
              <w:t>§2.1</w:t>
            </w:r>
          </w:p>
        </w:tc>
        <w:tc>
          <w:tcPr>
            <w:tcW w:type="dxa" w:w="2880"/>
          </w:tcPr>
          <w:p>
            <w:r/>
            <w:r>
              <w:t>License purpose changed from "personal, non-commercial purposes" to "</w:t>
            </w:r>
            <w:r>
              <w:rPr>
                <w:b/>
              </w:rPr>
              <w:t>internal business purposes</w:t>
            </w:r>
            <w:r>
              <w:t>" (B2B product).</w:t>
            </w:r>
          </w:p>
        </w:tc>
      </w:tr>
      <w:tr>
        <w:tc>
          <w:tcPr>
            <w:tcW w:type="dxa" w:w="2880"/>
          </w:tcPr>
          <w:p>
            <w:r/>
            <w:r>
              <w:t>§2.2</w:t>
            </w:r>
          </w:p>
        </w:tc>
        <w:tc>
          <w:tcPr>
            <w:tcW w:type="dxa" w:w="2880"/>
          </w:tcPr>
          <w:p>
            <w:r/>
            <w:r>
              <w:t>§2.2</w:t>
            </w:r>
          </w:p>
        </w:tc>
        <w:tc>
          <w:tcPr>
            <w:tcW w:type="dxa" w:w="2880"/>
          </w:tcPr>
          <w:p>
            <w:r/>
            <w:r>
              <w:t>Added restrictions (v)–(ix): circumvention (from MSA §3.1(e)), sham invoices/fraud, sanctions/AML/export, malware, credential sharing. (vi)–(ix) are new language at the founder's request for a payments product.</w:t>
            </w:r>
          </w:p>
        </w:tc>
      </w:tr>
      <w:tr>
        <w:tc>
          <w:tcPr>
            <w:tcW w:type="dxa" w:w="2880"/>
          </w:tcPr>
          <w:p>
            <w:r/>
            <w:r>
              <w:t>§2.4</w:t>
            </w:r>
          </w:p>
        </w:tc>
        <w:tc>
          <w:tcPr>
            <w:tcW w:type="dxa" w:w="2880"/>
          </w:tcPr>
          <w:p>
            <w:r/>
            <w:r>
              <w:t>§2.4</w:t>
            </w:r>
          </w:p>
        </w:tc>
        <w:tc>
          <w:tcPr>
            <w:tcW w:type="dxa" w:w="2880"/>
          </w:tcPr>
          <w:p>
            <w:r/>
            <w:r>
              <w:t>Kept "no support obligation"; added "best-efforts" sentence.</w:t>
            </w:r>
          </w:p>
        </w:tc>
      </w:tr>
      <w:tr>
        <w:tc>
          <w:tcPr>
            <w:tcW w:type="dxa" w:w="2880"/>
          </w:tcPr>
          <w:p>
            <w:r/>
            <w:r>
              <w:t>§2.7</w:t>
            </w:r>
          </w:p>
        </w:tc>
        <w:tc>
          <w:tcPr>
            <w:tcW w:type="dxa" w:w="2880"/>
          </w:tcPr>
          <w:p>
            <w:r/>
            <w:r>
              <w:t>—</w:t>
            </w:r>
          </w:p>
        </w:tc>
        <w:tc>
          <w:tcPr>
            <w:tcW w:type="dxa" w:w="2880"/>
          </w:tcPr>
          <w:p>
            <w:r/>
            <w:r>
              <w:t>New one-line third-party/open-source software notice.</w:t>
            </w:r>
          </w:p>
        </w:tc>
      </w:tr>
      <w:tr>
        <w:tc>
          <w:tcPr>
            <w:tcW w:type="dxa" w:w="2880"/>
          </w:tcPr>
          <w:p>
            <w:r/>
            <w:r>
              <w:t>§3.3</w:t>
            </w:r>
          </w:p>
        </w:tc>
        <w:tc>
          <w:tcPr>
            <w:tcW w:type="dxa" w:w="2880"/>
          </w:tcPr>
          <w:p>
            <w:r/>
            <w:r>
              <w:t>—</w:t>
            </w:r>
          </w:p>
        </w:tc>
        <w:tc>
          <w:tcPr>
            <w:tcW w:type="dxa" w:w="2880"/>
          </w:tcPr>
          <w:p>
            <w:r/>
            <w:r>
              <w:t>New pointer to the DPA.</w:t>
            </w:r>
          </w:p>
        </w:tc>
      </w:tr>
      <w:tr>
        <w:tc>
          <w:tcPr>
            <w:tcW w:type="dxa" w:w="2880"/>
          </w:tcPr>
          <w:p>
            <w:r/>
            <w:r>
              <w:t>§4.1–4.4</w:t>
            </w:r>
          </w:p>
        </w:tc>
        <w:tc>
          <w:tcPr>
            <w:tcW w:type="dxa" w:w="2880"/>
          </w:tcPr>
          <w:p>
            <w:r/>
            <w:r>
              <w:t>MSA §4.2–4.3</w:t>
            </w:r>
          </w:p>
        </w:tc>
        <w:tc>
          <w:tcPr>
            <w:tcW w:type="dxa" w:w="2880"/>
          </w:tcPr>
          <w:p>
            <w:r/>
            <w:r>
              <w:t>Customer Data ownership, license to Company, customer responsibility for data and consents, Aggregated Data — adapted from the MSA with product-specific examples.</w:t>
            </w:r>
          </w:p>
        </w:tc>
      </w:tr>
      <w:tr>
        <w:tc>
          <w:tcPr>
            <w:tcW w:type="dxa" w:w="2880"/>
          </w:tcPr>
          <w:p>
            <w:r/>
            <w:r>
              <w:t>§4.5</w:t>
            </w:r>
          </w:p>
        </w:tc>
        <w:tc>
          <w:tcPr>
            <w:tcW w:type="dxa" w:w="2880"/>
          </w:tcPr>
          <w:p>
            <w:r/>
            <w:r>
              <w:t>MSA §6.2 (Outputs)</w:t>
            </w:r>
          </w:p>
        </w:tc>
        <w:tc>
          <w:tcPr>
            <w:tcW w:type="dxa" w:w="2880"/>
          </w:tcPr>
          <w:p>
            <w:r/>
            <w:r>
              <w:t>AI extraction disclaimer adapted from the MSA's Outputs disclaimer.</w:t>
            </w:r>
          </w:p>
        </w:tc>
      </w:tr>
      <w:tr>
        <w:tc>
          <w:tcPr>
            <w:tcW w:type="dxa" w:w="2880"/>
          </w:tcPr>
          <w:p>
            <w:r/>
            <w:r>
              <w:t>§4.6</w:t>
            </w:r>
          </w:p>
        </w:tc>
        <w:tc>
          <w:tcPr>
            <w:tcW w:type="dxa" w:w="2880"/>
          </w:tcPr>
          <w:p>
            <w:r/>
            <w:r>
              <w:t>MSA §3.2 (last sentence)</w:t>
            </w:r>
          </w:p>
        </w:tc>
        <w:tc>
          <w:tcPr>
            <w:tcW w:type="dxa" w:w="2880"/>
          </w:tcPr>
          <w:p>
            <w:r/>
            <w:r>
              <w:t xml:space="preserve">"Not professional advice" expanded from the MSA's "shall not be construed as legal or other professional advice" into a full paragraph. </w:t>
            </w:r>
            <w:r>
              <w:rPr>
                <w:b/>
              </w:rPr>
              <w:t>New language.</w:t>
            </w:r>
          </w:p>
        </w:tc>
      </w:tr>
      <w:tr>
        <w:tc>
          <w:tcPr>
            <w:tcW w:type="dxa" w:w="2880"/>
          </w:tcPr>
          <w:p>
            <w:r/>
            <w:r>
              <w:t>§4.7</w:t>
            </w:r>
          </w:p>
        </w:tc>
        <w:tc>
          <w:tcPr>
            <w:tcW w:type="dxa" w:w="2880"/>
          </w:tcPr>
          <w:p>
            <w:r/>
            <w:r>
              <w:t>—</w:t>
            </w:r>
          </w:p>
        </w:tc>
        <w:tc>
          <w:tcPr>
            <w:tcW w:type="dxa" w:w="2880"/>
          </w:tcPr>
          <w:p>
            <w:r/>
            <w:r>
              <w:t xml:space="preserve">Tax-form filing responsibilities and IRS acceptance notification. </w:t>
            </w:r>
            <w:r>
              <w:rPr>
                <w:b/>
              </w:rPr>
              <w:t>New language.</w:t>
            </w:r>
          </w:p>
        </w:tc>
      </w:tr>
      <w:tr>
        <w:tc>
          <w:tcPr>
            <w:tcW w:type="dxa" w:w="2880"/>
          </w:tcPr>
          <w:p>
            <w:r/>
            <w:r>
              <w:t>§4.8</w:t>
            </w:r>
          </w:p>
        </w:tc>
        <w:tc>
          <w:tcPr>
            <w:tcW w:type="dxa" w:w="2880"/>
          </w:tcPr>
          <w:p>
            <w:r/>
            <w:r>
              <w:t>—</w:t>
            </w:r>
          </w:p>
        </w:tc>
        <w:tc>
          <w:tcPr>
            <w:tcW w:type="dxa" w:w="2880"/>
          </w:tcPr>
          <w:p>
            <w:r/>
            <w:r>
              <w:t xml:space="preserve">Retention/deletion rules (365-day lapse with 60-day notice, 90-day trial, export prompt, backups). </w:t>
            </w:r>
            <w:r>
              <w:rPr>
                <w:b/>
              </w:rPr>
              <w:t>New language; contains a [TBD].</w:t>
            </w:r>
          </w:p>
        </w:tc>
      </w:tr>
      <w:tr>
        <w:tc>
          <w:tcPr>
            <w:tcW w:type="dxa" w:w="2880"/>
          </w:tcPr>
          <w:p>
            <w:r/>
            <w:r>
              <w:t>§5</w:t>
            </w:r>
          </w:p>
        </w:tc>
        <w:tc>
          <w:tcPr>
            <w:tcW w:type="dxa" w:w="2880"/>
          </w:tcPr>
          <w:p>
            <w:r/>
            <w:r>
              <w:t>MSA §5 (Fees, Taxes, Payment Terms, Suspension)</w:t>
            </w:r>
          </w:p>
        </w:tc>
        <w:tc>
          <w:tcPr>
            <w:tcW w:type="dxa" w:w="2880"/>
          </w:tcPr>
          <w:p>
            <w:r/>
            <w:r>
              <w:t>Trial, auto-renewal, payment via CardConnect, cancellation, no refunds (MSA §5.3 "non-refundable"), 30-day price-change notice (MSA §5.1), 7-day grace then suspension (MSA §5.4 was 30 days), taxes (MSA §5.2). Auto-renewal sentence in capitals added as a conspicuous disclosure.</w:t>
            </w:r>
          </w:p>
        </w:tc>
      </w:tr>
      <w:tr>
        <w:tc>
          <w:tcPr>
            <w:tcW w:type="dxa" w:w="2880"/>
          </w:tcPr>
          <w:p>
            <w:r/>
            <w:r>
              <w:t>§6</w:t>
            </w:r>
          </w:p>
        </w:tc>
        <w:tc>
          <w:tcPr>
            <w:tcW w:type="dxa" w:w="2880"/>
          </w:tcPr>
          <w:p>
            <w:r/>
            <w:r>
              <w:t>— (structure borrowed from MSA §2.3 Connected Accounts and §6.2 Connected Accounts disclaimer)</w:t>
            </w:r>
          </w:p>
        </w:tc>
        <w:tc>
          <w:tcPr>
            <w:tcW w:type="dxa" w:w="2880"/>
          </w:tcPr>
          <w:p>
            <w:r/>
            <w:r>
              <w:t xml:space="preserve">Entire Chexbill Payments section is </w:t>
            </w:r>
            <w:r>
              <w:rPr>
                <w:b/>
              </w:rPr>
              <w:t>new language</w:t>
            </w:r>
            <w:r>
              <w:t>: role as software provider/referral partner, merchant agreement with CardConnect/Fiserv governs processing, onboarding data, fees per Pricing Schedule collected by the Processor, equipment billed by Chexbill, merchant obligations, Payors.</w:t>
            </w:r>
          </w:p>
        </w:tc>
      </w:tr>
      <w:tr>
        <w:tc>
          <w:tcPr>
            <w:tcW w:type="dxa" w:w="2880"/>
          </w:tcPr>
          <w:p>
            <w:r/>
            <w:r>
              <w:t>§7.1</w:t>
            </w:r>
          </w:p>
        </w:tc>
        <w:tc>
          <w:tcPr>
            <w:tcW w:type="dxa" w:w="2880"/>
          </w:tcPr>
          <w:p>
            <w:r/>
            <w:r>
              <w:t>§5.1</w:t>
            </w:r>
          </w:p>
        </w:tc>
        <w:tc>
          <w:tcPr>
            <w:tcW w:type="dxa" w:w="2880"/>
          </w:tcPr>
          <w:p>
            <w:r/>
            <w:r>
              <w:t>"may display third-party advertisements" removed (no ads); examples added.</w:t>
            </w:r>
          </w:p>
        </w:tc>
      </w:tr>
      <w:tr>
        <w:tc>
          <w:tcPr>
            <w:tcW w:type="dxa" w:w="2880"/>
          </w:tcPr>
          <w:p>
            <w:r/>
            <w:r>
              <w:t>§7.2</w:t>
            </w:r>
          </w:p>
        </w:tc>
        <w:tc>
          <w:tcPr>
            <w:tcW w:type="dxa" w:w="2880"/>
          </w:tcPr>
          <w:p>
            <w:r/>
            <w:r>
              <w:t>MSA §2.3</w:t>
            </w:r>
          </w:p>
        </w:tc>
        <w:tc>
          <w:tcPr>
            <w:tcW w:type="dxa" w:w="2880"/>
          </w:tcPr>
          <w:p>
            <w:r/>
            <w:r>
              <w:t>Connected bank accounts via Plaid, with the MSA's representations and no-liability language; Plaid End User Privacy Policy referenced.</w:t>
            </w:r>
          </w:p>
        </w:tc>
      </w:tr>
      <w:tr>
        <w:tc>
          <w:tcPr>
            <w:tcW w:type="dxa" w:w="2880"/>
          </w:tcPr>
          <w:p>
            <w:r/>
            <w:r>
              <w:t>§7.3–7.4</w:t>
            </w:r>
          </w:p>
        </w:tc>
        <w:tc>
          <w:tcPr>
            <w:tcW w:type="dxa" w:w="2880"/>
          </w:tcPr>
          <w:p>
            <w:r/>
            <w:r>
              <w:t>§5.2–5.3</w:t>
            </w:r>
          </w:p>
        </w:tc>
        <w:tc>
          <w:tcPr>
            <w:tcW w:type="dxa" w:w="2880"/>
          </w:tcPr>
          <w:p>
            <w:r/>
            <w:r>
              <w:t>Kept; "Payors" added to the other-users and release language.</w:t>
            </w:r>
          </w:p>
        </w:tc>
      </w:tr>
      <w:tr>
        <w:tc>
          <w:tcPr>
            <w:tcW w:type="dxa" w:w="2880"/>
          </w:tcPr>
          <w:p>
            <w:r/>
            <w:r>
              <w:t>§8</w:t>
            </w:r>
          </w:p>
        </w:tc>
        <w:tc>
          <w:tcPr>
            <w:tcW w:type="dxa" w:w="2880"/>
          </w:tcPr>
          <w:p>
            <w:r/>
            <w:r>
              <w:t>§4</w:t>
            </w:r>
          </w:p>
        </w:tc>
        <w:tc>
          <w:tcPr>
            <w:tcW w:type="dxa" w:w="2880"/>
          </w:tcPr>
          <w:p>
            <w:r/>
            <w:r>
              <w:t xml:space="preserve">Indemnity extended to (iv) Customer Data and (v) Chexbill Payments transactions, chargebacks, and card-network compliance. </w:t>
            </w:r>
            <w:r>
              <w:rPr>
                <w:b/>
              </w:rPr>
              <w:t>Broadens the customer's indemnity.</w:t>
            </w:r>
          </w:p>
        </w:tc>
      </w:tr>
      <w:tr>
        <w:tc>
          <w:tcPr>
            <w:tcW w:type="dxa" w:w="2880"/>
          </w:tcPr>
          <w:p>
            <w:r/>
            <w:r>
              <w:t>§9</w:t>
            </w:r>
          </w:p>
        </w:tc>
        <w:tc>
          <w:tcPr>
            <w:tcW w:type="dxa" w:w="2880"/>
          </w:tcPr>
          <w:p>
            <w:r/>
            <w:r>
              <w:t>§6 + MSA §6.2</w:t>
            </w:r>
          </w:p>
        </w:tc>
        <w:tc>
          <w:tcPr>
            <w:tcW w:type="dxa" w:w="2880"/>
          </w:tcPr>
          <w:p>
            <w:r/>
            <w:r>
              <w:t>Added "report, calculation, data extraction, or tax form" accuracy disclaimer and the MSA's third-party-services disclaimer.</w:t>
            </w:r>
          </w:p>
        </w:tc>
      </w:tr>
      <w:tr>
        <w:tc>
          <w:tcPr>
            <w:tcW w:type="dxa" w:w="2880"/>
          </w:tcPr>
          <w:p>
            <w:r/>
            <w:r>
              <w:t>§10</w:t>
            </w:r>
          </w:p>
        </w:tc>
        <w:tc>
          <w:tcPr>
            <w:tcW w:type="dxa" w:w="2880"/>
          </w:tcPr>
          <w:p>
            <w:r/>
            <w:r>
              <w:t>§7</w:t>
            </w:r>
          </w:p>
        </w:tc>
        <w:tc>
          <w:tcPr>
            <w:tcW w:type="dxa" w:w="2880"/>
          </w:tcPr>
          <w:p>
            <w:r/>
            <w:r>
              <w:t xml:space="preserve">Cap raised from greater of $50 / 6 months to </w:t>
            </w:r>
            <w:r>
              <w:rPr>
                <w:b/>
              </w:rPr>
              <w:t>greater of $100 / 12 months</w:t>
            </w:r>
            <w:r>
              <w:t>; excluded damages list extended with "tax penalties or interest, chargebacks, fines, or processing losses".</w:t>
            </w:r>
          </w:p>
        </w:tc>
      </w:tr>
      <w:tr>
        <w:tc>
          <w:tcPr>
            <w:tcW w:type="dxa" w:w="2880"/>
          </w:tcPr>
          <w:p>
            <w:r/>
            <w:r>
              <w:t>§11</w:t>
            </w:r>
          </w:p>
        </w:tc>
        <w:tc>
          <w:tcPr>
            <w:tcW w:type="dxa" w:w="2880"/>
          </w:tcPr>
          <w:p>
            <w:r/>
            <w:r>
              <w:t>§8</w:t>
            </w:r>
          </w:p>
        </w:tc>
        <w:tc>
          <w:tcPr>
            <w:tcW w:type="dxa" w:w="2880"/>
          </w:tcPr>
          <w:p>
            <w:r/>
            <w:r>
              <w:t xml:space="preserve">At-will suspension kept; added a "reasonable efforts to notify and give an opportunity to cure" commitment for paid Organizations, except for fraud, abuse, non-payment, legal/security risk, or harm. </w:t>
            </w:r>
            <w:r>
              <w:rPr>
                <w:b/>
              </w:rPr>
              <w:t>This narrows the company's at-will right for paying customers; founder's choice.</w:t>
            </w:r>
          </w:p>
        </w:tc>
      </w:tr>
      <w:tr>
        <w:tc>
          <w:tcPr>
            <w:tcW w:type="dxa" w:w="2880"/>
          </w:tcPr>
          <w:p>
            <w:r/>
            <w:r>
              <w:t>§12</w:t>
            </w:r>
          </w:p>
        </w:tc>
        <w:tc>
          <w:tcPr>
            <w:tcW w:type="dxa" w:w="2880"/>
          </w:tcPr>
          <w:p>
            <w:r/>
            <w:r>
              <w:t>—</w:t>
            </w:r>
          </w:p>
        </w:tc>
        <w:tc>
          <w:tcPr>
            <w:tcW w:type="dxa" w:w="2880"/>
          </w:tcPr>
          <w:p>
            <w:r/>
            <w:r>
              <w:t xml:space="preserve">Copyright-complaint clause. </w:t>
            </w:r>
            <w:r>
              <w:rPr>
                <w:b/>
              </w:rPr>
              <w:t>New language; no DMCA agent registered.</w:t>
            </w:r>
          </w:p>
        </w:tc>
      </w:tr>
      <w:tr>
        <w:tc>
          <w:tcPr>
            <w:tcW w:type="dxa" w:w="2880"/>
          </w:tcPr>
          <w:p>
            <w:r/>
            <w:r>
              <w:t>§13</w:t>
            </w:r>
          </w:p>
        </w:tc>
        <w:tc>
          <w:tcPr>
            <w:tcW w:type="dxa" w:w="2880"/>
          </w:tcPr>
          <w:p>
            <w:r/>
            <w:r>
              <w:t>§9</w:t>
            </w:r>
          </w:p>
        </w:tc>
        <w:tc>
          <w:tcPr>
            <w:tcW w:type="dxa" w:w="2880"/>
          </w:tcPr>
          <w:p>
            <w:r/>
            <w:r>
              <w:t>State notices kept (CA, CO, CT, VA, NV); California address replaced with Delaware address; "Other States" drafting note converted to an attorney flag.</w:t>
            </w:r>
          </w:p>
        </w:tc>
      </w:tr>
      <w:tr>
        <w:tc>
          <w:tcPr>
            <w:tcW w:type="dxa" w:w="2880"/>
          </w:tcPr>
          <w:p>
            <w:r/>
            <w:r>
              <w:t>§16</w:t>
            </w:r>
          </w:p>
        </w:tc>
        <w:tc>
          <w:tcPr>
            <w:tcW w:type="dxa" w:w="2880"/>
          </w:tcPr>
          <w:p>
            <w:r/>
            <w:r>
              <w:t>§11 Option A</w:t>
            </w:r>
          </w:p>
        </w:tc>
        <w:tc>
          <w:tcPr>
            <w:tcW w:type="dxa" w:w="2880"/>
          </w:tcPr>
          <w:p>
            <w:r/>
            <w:r>
              <w:t>Kept verbatim except: addresses/emails filled, "California" replaced with "Delaware" in §16.2, §16.7, and §16.10.</w:t>
            </w:r>
          </w:p>
        </w:tc>
      </w:tr>
    </w:tbl>
    <w:p/>
    <w:p>
      <w:r>
        <w:rPr>
          <w:b/>
        </w:rPr>
        <w:t>Template clauses dropped</w:t>
      </w:r>
    </w:p>
    <w:p>
      <w:pPr>
        <w:pStyle w:val="ListBullet"/>
      </w:pPr>
      <w:r>
        <w:t>§11 Option B (DecisionLayer) in full.</w:t>
      </w:r>
    </w:p>
    <w:p>
      <w:pPr>
        <w:pStyle w:val="ListBullet"/>
      </w:pPr>
      <w:r>
        <w:t>"may display third-party advertisements" (template §5.1).</w:t>
      </w:r>
    </w:p>
    <w:p>
      <w:pPr>
        <w:pStyle w:val="ListBullet"/>
      </w:pPr>
      <w:r>
        <w:t>Template §9.6 "Other States" bracketed drafting note (replaced by attorney flag).</w:t>
      </w:r>
    </w:p>
    <w:p>
      <w:pPr>
        <w:pStyle w:val="Heading3"/>
      </w:pPr>
      <w:r>
        <w:t>A.2 Privacy Policy (from Privacy Policy (U.S. only) template)</w:t>
      </w:r>
    </w:p>
    <w:p>
      <w:r>
        <w:rPr>
          <w:b/>
        </w:rPr>
        <w:t>Filled:</w:t>
      </w:r>
      <w:r>
        <w:t xml:space="preserve"> company name, business description, domains, dates, contact email and mailing address (no phone), PostHog as the analytics example, CardConnect as payment processor, identity-verification process, request channels, CCPA chart (six rows), "under 16" alternative, "do not process for targeted advertising / profiling / sell" alternatives, "process some Sensitive PI but not to infer characteristics" alternative.</w:t>
      </w:r>
    </w:p>
    <w:p>
      <w:r>
        <w:rPr>
          <w:b/>
        </w:rPr>
        <w:t>Data categories kept:</w:t>
      </w:r>
      <w:r>
        <w:t xml:space="preserve"> Contact, Profile, Communications, Transactional, Marketing, User-generated content and input data, Financial, Government-issued identification number, Payment, Other. </w:t>
      </w:r>
      <w:r>
        <w:rPr>
          <w:b/>
        </w:rPr>
        <w:t>Added:</w:t>
      </w:r>
      <w:r>
        <w:t xml:space="preserve"> "Chexbill Payments application data". </w:t>
      </w:r>
      <w:r>
        <w:rPr>
          <w:b/>
        </w:rPr>
        <w:t>Dropped:</w:t>
      </w:r>
      <w:r>
        <w:t xml:space="preserve"> Demographic, Relationship, Promotion (no contests), precise geolocation, "chat features" bracket.</w:t>
      </w:r>
    </w:p>
    <w:p>
      <w:r>
        <w:rPr>
          <w:b/>
        </w:rPr>
        <w:t>Sources kept:</w:t>
      </w:r>
      <w:r>
        <w:t xml:space="preserve"> social sign-in (bracketed optional, kept), Customers, Service providers, Business transaction partners. </w:t>
      </w:r>
      <w:r>
        <w:rPr>
          <w:b/>
        </w:rPr>
        <w:t>Added:</w:t>
      </w:r>
      <w:r>
        <w:t xml:space="preserve"> Financial institutions and bank-connection services (Plaid). </w:t>
      </w:r>
      <w:r>
        <w:rPr>
          <w:b/>
        </w:rPr>
        <w:t>Dropped:</w:t>
      </w:r>
      <w:r>
        <w:t xml:space="preserve"> Public sources, Data providers, Partners.</w:t>
      </w:r>
    </w:p>
    <w:p>
      <w:r>
        <w:rPr>
          <w:b/>
        </w:rPr>
        <w:t>Uses:</w:t>
      </w:r>
      <w:r>
        <w:t xml:space="preserve"> kept Service delivery (edited examples; "social features" bullet dropped), Personalization, Service improvement and analytics (Google Analytics example replaced by PostHog), Direct marketing, Compliance and protection, Corporate events, Aggregated data (both bracketed options resolved: "will not attempt to reidentify" kept; AI-training sentence and opt-out dropped), Further uses. </w:t>
      </w:r>
      <w:r>
        <w:rPr>
          <w:b/>
        </w:rPr>
        <w:t>Dropped:</w:t>
      </w:r>
      <w:r>
        <w:t xml:space="preserve"> Interest-based advertising, Events/promotions/contests.</w:t>
      </w:r>
    </w:p>
    <w:p>
      <w:r>
        <w:rPr>
          <w:b/>
        </w:rPr>
        <w:t>Sharing:</w:t>
      </w:r>
      <w:r>
        <w:t xml:space="preserve"> kept Service providers (examples edited), Payment processors (CardConnect, with onboarding-data sentence added), Third parties designated by you, Linked third-party services, Professional advisors, Authorities, Business transferees. </w:t>
      </w:r>
      <w:r>
        <w:rPr>
          <w:b/>
        </w:rPr>
        <w:t>Added:</w:t>
      </w:r>
      <w:r>
        <w:t xml:space="preserve"> Bank-connection services (Plaid); "Other users of your organization" replaces the template's "Other users and the public". </w:t>
      </w:r>
      <w:r>
        <w:rPr>
          <w:b/>
        </w:rPr>
        <w:t>Dropped:</w:t>
      </w:r>
      <w:r>
        <w:t xml:space="preserve"> Affiliates, Advertising partners, Partners.</w:t>
      </w:r>
    </w:p>
    <w:p>
      <w:r>
        <w:rPr>
          <w:b/>
        </w:rPr>
        <w:t>Choices:</w:t>
      </w:r>
      <w:r>
        <w:t xml:space="preserve"> kept access/update, opt-out of communications, cookies, blocking images, DNT (URL recovered), declining, linked platforms, delete content/close account (filled). </w:t>
      </w:r>
      <w:r>
        <w:rPr>
          <w:b/>
        </w:rPr>
        <w:t>Added:</w:t>
      </w:r>
      <w:r>
        <w:t xml:space="preserve"> Connected financial accounts. </w:t>
      </w:r>
      <w:r>
        <w:rPr>
          <w:b/>
        </w:rPr>
        <w:t>Dropped:</w:t>
      </w:r>
      <w:r>
        <w:t xml:space="preserve"> Training data opt-out, Mobile location, Privacy settings.</w:t>
      </w:r>
    </w:p>
    <w:p>
      <w:r>
        <w:rPr>
          <w:b/>
        </w:rPr>
        <w:t>Retention:</w:t>
      </w:r>
      <w:r>
        <w:t xml:space="preserve"> template's bracketed section kept and extended with Chexbill's concrete periods (new language, two flags).</w:t>
      </w:r>
    </w:p>
    <w:p>
      <w:r>
        <w:rPr>
          <w:b/>
        </w:rPr>
        <w:t>State notice:</w:t>
      </w:r>
      <w:r>
        <w:t xml:space="preserve"> "Exercising your right to opt-out" paragraph rewritten because the template's fixed sentence ("like many companies, we use services that help deliver interest-based ads") is false for Chexbill; GPC sentence kept. Phone and webform channels removed; email and account settings kept. Shine the Light and Nevada paragraphs kept; Texas paragraph dropped (no sale of sensitive data).</w:t>
      </w:r>
    </w:p>
    <w:p>
      <w:r>
        <w:rPr>
          <w:b/>
        </w:rPr>
        <w:t>Added paragraph with no template source:</w:t>
      </w:r>
      <w:r>
        <w:t xml:space="preserve"> "Personal information we process on behalf of our customers" (processor-role clarification).</w:t>
      </w:r>
    </w:p>
    <w:p>
      <w:r>
        <w:rPr>
          <w:b/>
        </w:rPr>
        <w:t>Template defects corrected:</w:t>
      </w:r>
      <w:r>
        <w:t xml:space="preserve"> removed the stray "GDPR compliant" header row; removed the "previous version" and "printable copy" lines; fixed the broken list numbering and stray headings; fixed the "Opt-out of marketing section" cross-reference to "Opt-out of communications".</w:t>
      </w:r>
    </w:p>
    <w:p>
      <w:pPr>
        <w:pStyle w:val="Heading3"/>
      </w:pPr>
      <w:r>
        <w:t>A.3 Cookie Notice (from Cookie Notice template)</w:t>
      </w:r>
    </w:p>
    <w:p>
      <w:r>
        <w:rPr>
          <w:b/>
        </w:rPr>
        <w:t>Filled:</w:t>
      </w:r>
      <w:r>
        <w:t xml:space="preserve"> company, sites, date, email, four cookie rows with providers and privacy-policy links. </w:t>
      </w:r>
      <w:r>
        <w:rPr>
          <w:b/>
        </w:rPr>
        <w:t>Dropped:</w:t>
      </w:r>
      <w:r>
        <w:t xml:space="preserve"> Advertising row and all advertising-related text (NAI/DAA/AppChoices opt-outs, mobile advertising ID, "if you opt out of targeted advertisements" paragraphs); mobile app language and SDK paragraph; Flash LSO paragraph (obsolete technology); session-replay paragraph (not used); the optional cookie-banner/dashboard block (no banner); the duplicated allaboutcookies sentence. </w:t>
      </w:r>
      <w:r>
        <w:rPr>
          <w:b/>
        </w:rPr>
        <w:t>Added:</w:t>
      </w:r>
      <w:r>
        <w:t xml:space="preserve"> "We do not use advertising cookies" sentence; GPC bullet in Your choices (new, mirrors the Privacy Policy); vendor privacy-policy URLs in the table. </w:t>
      </w:r>
      <w:r>
        <w:rPr>
          <w:b/>
        </w:rPr>
        <w:t>Recovered URL:</w:t>
      </w:r>
      <w:r>
        <w:t xml:space="preserve"> allaboutcookies.org (from the .docx).</w:t>
      </w:r>
    </w:p>
    <w:p>
      <w:pPr>
        <w:pStyle w:val="Heading3"/>
      </w:pPr>
      <w:r>
        <w:t>A.4 Data Processing Addendum (from DPA (U.S.) template)</w:t>
      </w:r>
    </w:p>
    <w:p>
      <w:r>
        <w:rPr>
          <w:b/>
        </w:rPr>
        <w:t>Structural:</w:t>
      </w:r>
      <w:r>
        <w:t xml:space="preserve"> section and sub-section numbering restored (1–11, (a)–(e)) to match the template's own cross-references ("Section 4(a)", "Sections 9(b)–(d)", "Section 6(b)", "Section 7", "Section 8", "Section 11(d)" is now 11(d)); Annex headings restored; security measures numbered. </w:t>
      </w:r>
      <w:r>
        <w:rPr>
          <w:b/>
        </w:rPr>
        <w:t>Filled:</w:t>
      </w:r>
      <w:r>
        <w:t xml:space="preserve"> Provider details, Agreement = Chexbill Terms of Service, Subprocessor Site URL, Annex 1 (provider activities, data subjects, data categories, sensitive data), Annex 4 subprocessor list (twelve vendors). </w:t>
      </w:r>
      <w:r>
        <w:rPr>
          <w:b/>
        </w:rPr>
        <w:t>Changed:</w:t>
      </w:r>
      <w:r>
        <w:t xml:space="preserve"> §6(b) Restricted Data warranty now carves out "</w:t>
      </w:r>
      <w:r>
        <w:rPr>
          <w:b/>
        </w:rPr>
        <w:t>Permitted Sensitive Data</w:t>
      </w:r>
      <w:r>
        <w:t xml:space="preserve">" (vendor TINs for information returns, bank account/routing numbers for payments, connected-account transaction data). </w:t>
      </w:r>
      <w:r>
        <w:rPr>
          <w:b/>
        </w:rPr>
        <w:t>This loosens the template's blanket prohibition; without it the warranty would be breached by ordinary use of the product.</w:t>
      </w:r>
      <w:r>
        <w:t xml:space="preserve"> Annex 1 "Categories of sensitive data" changed from "None" accordingly, with an "additional safeguards" sentence added. §9(b) adds a sentence pointing to the export feature. </w:t>
      </w:r>
      <w:r>
        <w:rPr>
          <w:b/>
        </w:rPr>
        <w:t>Kept as drafted:</w:t>
      </w:r>
      <w:r>
        <w:t xml:space="preserve"> everything else, including 15-day subprocessor objection, annual audit right, 30-day post-cessation window, AI-training prohibition (§10), liability cap import (§11(d)), signature block.</w:t>
      </w:r>
    </w:p>
    <w:p>
      <w:r>
        <w:t>________________________________________</w:t>
      </w:r>
    </w:p>
    <w:p>
      <w:pPr>
        <w:pStyle w:val="Heading2"/>
      </w:pPr>
      <w:r>
        <w:t>Part B — Open items for the attorney</w:t>
      </w:r>
    </w:p>
    <w:p>
      <w:pPr>
        <w:pStyle w:val="Heading3"/>
      </w:pPr>
      <w:r>
        <w:t>B.1 Unresolved facts marked [TBD] in the documents</w:t>
      </w:r>
    </w:p>
    <w:p>
      <w:pPr>
        <w:pStyle w:val="ListNumber"/>
      </w:pPr>
      <w:r>
        <w:rPr>
          <w:b/>
        </w:rPr>
        <w:t>Backup retention window</w:t>
      </w:r>
      <w:r>
        <w:t xml:space="preserve"> after deletion (Terms §4.8; Privacy Policy "Retention"). Engineering must state how long Supabase backups retain deleted data.</w:t>
      </w:r>
    </w:p>
    <w:p>
      <w:pPr>
        <w:pStyle w:val="ListNumber"/>
      </w:pPr>
      <w:r>
        <w:rPr>
          <w:b/>
        </w:rPr>
        <w:t>Subprocessor entity names and locations</w:t>
      </w:r>
      <w:r>
        <w:t xml:space="preserve"> (DPA Annex 4). Drafted from public information; confirm each from the vendor's current terms. Brevo is French-headquartered.</w:t>
      </w:r>
    </w:p>
    <w:p>
      <w:pPr>
        <w:pStyle w:val="ListNumber"/>
      </w:pPr>
      <w:r>
        <w:rPr>
          <w:b/>
        </w:rPr>
        <w:t>Vendor privacy-policy URLs</w:t>
      </w:r>
      <w:r>
        <w:t xml:space="preserve"> in the Cookie Notice table and the Fiserv privacy-notice URL in the Privacy Policy were supplied by the drafter, not the templates; verify each resolves before publication.</w:t>
      </w:r>
    </w:p>
    <w:p>
      <w:pPr>
        <w:pStyle w:val="Heading3"/>
      </w:pPr>
      <w:r>
        <w:t>B.2 Judgment calls marked [ATTORNEY REVIEW] or otherwise worth a look</w:t>
      </w:r>
    </w:p>
    <w:p>
      <w:pPr>
        <w:pStyle w:val="ListNumber"/>
      </w:pPr>
      <w:r>
        <w:rPr>
          <w:b/>
        </w:rPr>
        <w:t>Chexbill Payments section (Terms §6).</w:t>
      </w:r>
      <w:r>
        <w:t xml:space="preserve"> No template covers a referral-partner/ISV arrangement. Confirm: (a) Chexbill's characterization as "software provider and referral partner" of the Processor matches the ISR/sub-rep agreement; (b) whether the CardConnect/Fiserv program requires any specific disclosures or pass-through terms in Chexbill's own Terms (the Fiserv Program Guide v. GenCP-KB-2907_PG_07.01.26 and MPA v. GenCP-KB-2910_MPA_08.28.26 were provided by the founder); (c) whether the 3-year Fiserv initial term, early-termination fee, and personal guarantee should be flagged to merchants in Chexbill's onboarding flow; (d) PCI DSS scope given use of the hosted tokenizer and in-person terminals; (e) equipment sale/rental terms (§6.4) are stated in one sentence and may warrant their own order terms.</w:t>
      </w:r>
    </w:p>
    <w:p>
      <w:pPr>
        <w:pStyle w:val="ListNumber"/>
      </w:pPr>
      <w:r>
        <w:rPr>
          <w:b/>
        </w:rPr>
        <w:t>Sensitive data.</w:t>
      </w:r>
      <w:r>
        <w:t xml:space="preserve"> Chexbill collects SSN/EIN, date of birth, and bank account numbers for merchant onboarding and vendors' TINs for 1099 filing. The Privacy Policy discloses this and selects the "we process some Sensitive PI but not to infer characteristics" alternative; the DPA §6(b) warranty was carved out (Permitted Sensitive Data). Confirm both, and whether any state law requires a "limit use of sensitive PI" right to be offered notwithstanding the exemption relied on.</w:t>
      </w:r>
    </w:p>
    <w:p>
      <w:pPr>
        <w:pStyle w:val="ListNumber"/>
      </w:pPr>
      <w:r>
        <w:rPr>
          <w:b/>
        </w:rPr>
        <w:t>KYC data deletion.</w:t>
      </w:r>
      <w:r>
        <w:t xml:space="preserve"> Founder states onboarding data is deleted after submission to the processor and never reaches support tickets, error monitoring, or logs. Privacy Policy "Retention" relies on this. Recommend an engineering verification (including Supabase backups and Sentry breadcrumbs) before publication.</w:t>
      </w:r>
    </w:p>
    <w:p>
      <w:pPr>
        <w:pStyle w:val="ListNumber"/>
      </w:pPr>
      <w:r>
        <w:rPr>
          <w:b/>
        </w:rPr>
        <w:t>Record retention vs. automatic deletion.</w:t>
      </w:r>
      <w:r>
        <w:t xml:space="preserve"> Organizations are deleted 365 days after a lapsed subscription (90 days for unconverted trials). IRS guidance generally expects filers to keep copies of information returns for about four years. Decide what Chexbill (versus TaxBandits or the customer) must retain, and whether Terms §4.8 and the Privacy Policy need a carve-out for tax and payment records (a generic "as required by law" sentence is included).</w:t>
      </w:r>
    </w:p>
    <w:p>
      <w:pPr>
        <w:pStyle w:val="ListNumber"/>
      </w:pPr>
      <w:r>
        <w:rPr>
          <w:b/>
        </w:rPr>
        <w:t>Termination for paid customers (Terms §11).</w:t>
      </w:r>
      <w:r>
        <w:t xml:space="preserve"> The template is at-will; at the founder's request a "reasonable efforts to notify and give an opportunity to cure" sentence was added for paid Organizations with carve-outs. Confirm the carve-outs are broad enough.</w:t>
      </w:r>
    </w:p>
    <w:p>
      <w:pPr>
        <w:pStyle w:val="ListNumber"/>
      </w:pPr>
      <w:r>
        <w:rPr>
          <w:b/>
        </w:rPr>
        <w:t>Liability cap (Terms §10)</w:t>
      </w:r>
      <w:r>
        <w:t xml:space="preserve"> raised to the greater of $100 or 12 months' fees, and the exclusions list extended (tax penalties, chargebacks, fines, processing losses). Confirm enforceability of excluding tax penalties where they result from a Service error.</w:t>
      </w:r>
    </w:p>
    <w:p>
      <w:pPr>
        <w:pStyle w:val="ListNumber"/>
      </w:pPr>
      <w:r>
        <w:rPr>
          <w:b/>
        </w:rPr>
        <w:t>Indemnity (Terms §8)</w:t>
      </w:r>
      <w:r>
        <w:t xml:space="preserve"> extended to Customer Data and payments activity. Confirm.</w:t>
      </w:r>
    </w:p>
    <w:p>
      <w:pPr>
        <w:pStyle w:val="ListNumber"/>
      </w:pPr>
      <w:r>
        <w:rPr>
          <w:b/>
        </w:rPr>
        <w:t>"Not professional advice" and tax-filing clauses (Terms §4.6–4.7).</w:t>
      </w:r>
      <w:r>
        <w:t xml:space="preserve"> New language; confirm whether Chexbill's 1099 e-filing role creates any obligations as a transmitter or filer that the Terms should address, and whether "we will inform you whether the tax authority has accepted or rejected the filing" creates an undesired service commitment.</w:t>
      </w:r>
    </w:p>
    <w:p>
      <w:pPr>
        <w:pStyle w:val="ListNumber"/>
      </w:pPr>
      <w:r>
        <w:rPr>
          <w:b/>
        </w:rPr>
        <w:t>DPA execution model.</w:t>
      </w:r>
      <w:r>
        <w:t xml:space="preserve"> Template is countersigned; for a self-serve product, consider incorporating the DPA by reference in the Terms (Terms §3.3 already points to it) with a countersigned copy on request.</w:t>
      </w:r>
    </w:p>
    <w:p>
      <w:pPr>
        <w:pStyle w:val="ListNumber"/>
      </w:pPr>
      <w:r>
        <w:rPr>
          <w:b/>
        </w:rPr>
        <w:t>DPA precedence.</w:t>
      </w:r>
      <w:r>
        <w:t xml:space="preserve"> DPA §11(a) says the DPA governs on conflict; Terms §3.1 says the Privacy Policy governs on personal-data conflicts between the Terms and the Privacy Policy. These concern different documents, but confirm the hierarchy is as intended.</w:t>
      </w:r>
    </w:p>
    <w:p>
      <w:pPr>
        <w:pStyle w:val="ListNumber"/>
      </w:pPr>
      <w:r>
        <w:rPr>
          <w:b/>
        </w:rPr>
        <w:t>Copyright complaints (Terms §12).</w:t>
      </w:r>
      <w:r>
        <w:t xml:space="preserve"> No template clause existed; one paragraph was added. Registering a designated agent with the U.S. Copyright Office is needed for DMCA safe-harbor protection.</w:t>
      </w:r>
    </w:p>
    <w:p>
      <w:pPr>
        <w:pStyle w:val="ListNumber"/>
      </w:pPr>
      <w:r>
        <w:rPr>
          <w:b/>
        </w:rPr>
        <w:t>Arbitration.</w:t>
      </w:r>
      <w:r>
        <w:t xml:space="preserve"> JAMS (Option A) selected; DecisionLayer (Option B) removed. The template's batch-arbitration clause, 45/60-day informal process, and $250,000 Streamlined/Comprehensive split are kept verbatim. Confirm enforceability of the class waiver and opt-out mechanics under Delaware law and against business customers.</w:t>
      </w:r>
    </w:p>
    <w:p>
      <w:pPr>
        <w:pStyle w:val="ListNumber"/>
      </w:pPr>
      <w:r>
        <w:rPr>
          <w:b/>
        </w:rPr>
        <w:t>State consumer notices (Terms §13).</w:t>
      </w:r>
      <w:r>
        <w:t xml:space="preserve"> Kept CA (incl. Civil Code §1789.3 notice with the Delaware address), CO, CT, VA, NV. The template's own note says additional states may be needed; the customer base is business users, so some notices may be unnecessary. Prune or extend.</w:t>
      </w:r>
    </w:p>
    <w:p>
      <w:pPr>
        <w:pStyle w:val="ListNumber"/>
      </w:pPr>
      <w:r>
        <w:rPr>
          <w:b/>
        </w:rPr>
        <w:t>Google Gemini.</w:t>
      </w:r>
      <w:r>
        <w:t xml:space="preserve"> Privacy Policy states Google does not train on inputs under the paid API tier. Confirm against Google's current API terms at publication.</w:t>
      </w:r>
    </w:p>
    <w:p>
      <w:pPr>
        <w:pStyle w:val="ListNumber"/>
      </w:pPr>
      <w:r>
        <w:rPr>
          <w:b/>
        </w:rPr>
        <w:t>Plaid.</w:t>
      </w:r>
      <w:r>
        <w:t xml:space="preserve"> Terms §7.2 and the Privacy Policy reference the Plaid End User Privacy Policy, which Plaid requires of apps using its services; confirm the current URL and that Plaid's developer policy does not require additional language.</w:t>
      </w:r>
    </w:p>
    <w:p>
      <w:pPr>
        <w:pStyle w:val="ListNumber"/>
      </w:pPr>
      <w:r>
        <w:rPr>
          <w:b/>
        </w:rPr>
        <w:t>Payor terms.</w:t>
      </w:r>
      <w:r>
        <w:t xml:space="preserve"> Payors (customers' clients paying invoices) are addressed in Terms §6.6 and §7.3; the payment page will carry a short notice linking the Terms and Privacy Policy. Confirm whether Payors need a distinct short-form notice.</w:t>
      </w:r>
    </w:p>
    <w:p>
      <w:pPr>
        <w:pStyle w:val="ListNumber"/>
      </w:pPr>
      <w:r>
        <w:rPr>
          <w:b/>
        </w:rPr>
        <w:t>Accessibility commitment (Terms §14)</w:t>
      </w:r>
      <w:r>
        <w:t xml:space="preserve"> kept at "endeavor to conform to WCAG 2.1 AA". Confirm appetite.</w:t>
      </w:r>
    </w:p>
    <w:p>
      <w:pPr>
        <w:pStyle w:val="ListNumber"/>
      </w:pPr>
      <w:r>
        <w:rPr>
          <w:b/>
        </w:rPr>
        <w:t>General Legal attribution footnote</w:t>
      </w:r>
      <w:r>
        <w:t xml:space="preserve"> kept on each document per the template authors' request (CC0 permits removal).</w:t>
      </w:r>
    </w:p>
    <w:p>
      <w:pPr>
        <w:pStyle w:val="Heading3"/>
      </w:pPr>
      <w:r>
        <w:t>B.3 Template versus jurisdiction mismatches</w:t>
      </w:r>
    </w:p>
    <w:p>
      <w:pPr>
        <w:pStyle w:val="ListBullet"/>
      </w:pPr>
      <w:r>
        <w:t xml:space="preserve">The Terms of Use template defaults to </w:t>
      </w:r>
      <w:r>
        <w:rPr>
          <w:b/>
        </w:rPr>
        <w:t>California</w:t>
      </w:r>
      <w:r>
        <w:t xml:space="preserve"> law, venue, and notice addresses, and includes California-specific consumer notices (Civil Code §1789.3; §1542 release). Governing law and addresses were changed to </w:t>
      </w:r>
      <w:r>
        <w:rPr>
          <w:b/>
        </w:rPr>
        <w:t>Delaware</w:t>
      </w:r>
      <w:r>
        <w:t>; the California notices were kept because they apply by residence of the user, not by the company's location. Confirm.</w:t>
      </w:r>
    </w:p>
    <w:p>
      <w:pPr>
        <w:pStyle w:val="ListBullet"/>
      </w:pPr>
      <w:r>
        <w:t>The Privacy Policy template is U.S.-only and lists CCPA/CPRA, Virginia, Colorado, Connecticut, Texas, Nevada. Texas sensitive-data "sale" paragraph dropped. No GDPR content (none needed).</w:t>
      </w:r>
    </w:p>
    <w:p>
      <w:pPr>
        <w:pStyle w:val="ListBullet"/>
      </w:pPr>
      <w:r>
        <w:t>The DPA template is U.S.-only (State Privacy Laws Annex). Appropriate for U.S.-only customers; if an EEA/UK customer ever signs up, the Global DPA template and GDPR privacy notice would be needed.</w:t>
      </w:r>
    </w:p>
    <w:p>
      <w:pPr>
        <w:pStyle w:val="ListBullet"/>
      </w:pPr>
      <w:r>
        <w:t>The MSA clauses borrowed for fees and data rights were drafted for an on-premise enterprise product with Delaware law; only the clause language was reused, not its deployment assumptions.</w:t>
      </w:r>
    </w:p>
    <w:p>
      <w:pPr>
        <w:pStyle w:val="Heading3"/>
      </w:pPr>
      <w:r>
        <w:t>B.4 Template defects noticed (for the template authors or for awareness)</w:t>
      </w:r>
    </w:p>
    <w:p>
      <w:r>
        <w:t xml:space="preserve">See </w:t>
      </w:r>
      <w:r>
        <w:t>legal/phase1-inventory.md</w:t>
      </w:r>
      <w:r>
        <w:t xml:space="preserve"> §5. Items that affected these drafts: lost section numbering in the DPA (restored); the privacy template's fixed "we use services that help deliver interest-based ads" sentence (rewritten); the "Opt-out of marketing section" cross-reference (fixed); dropped hyperlinks (recovered from the .docx originals); obsolete Flash cookie paragraph (dropped).</w:t>
      </w:r>
    </w:p>
    <w:p>
      <w:r>
        <w:t>________________________________________</w:t>
      </w:r>
    </w:p>
    <w:p>
      <w:pPr>
        <w:pStyle w:val="Heading2"/>
      </w:pPr>
      <w:r>
        <w:t>Part C — Deployment checklist</w:t>
      </w:r>
    </w:p>
    <w:p>
      <w:r>
        <w:rPr>
          <w:b/>
        </w:rPr>
        <w:t>Where to link each document</w:t>
      </w:r>
    </w:p>
    <w:p>
      <w:pPr>
        <w:pStyle w:val="ListBullet"/>
      </w:pPr>
      <w:r>
        <w:t xml:space="preserve">Terms of Service: footer of chexbill.com and app.chexbill.com; sign-up form; Organization creation; checkout/subscription page; invoice payment page (short notice: "By paying, you agree to Chexbill's Terms of Service and acknowledge the Privacy Policy"); Chexbill Payments application start page. Publish at </w:t>
      </w:r>
      <w:r>
        <w:t>https://chexbill.com/terms</w:t>
      </w:r>
      <w:r>
        <w:t xml:space="preserve"> (the drafts assume </w:t>
      </w:r>
      <w:r>
        <w:t>/privacy</w:t>
      </w:r>
      <w:r>
        <w:t xml:space="preserve">, </w:t>
      </w:r>
      <w:r>
        <w:t>/cookies</w:t>
      </w:r>
      <w:r>
        <w:t xml:space="preserve">, </w:t>
      </w:r>
      <w:r>
        <w:t>/dpa</w:t>
      </w:r>
      <w:r>
        <w:t xml:space="preserve">, </w:t>
      </w:r>
      <w:r>
        <w:t>/subprocessors</w:t>
      </w:r>
      <w:r>
        <w:t xml:space="preserve"> on chexbill.com; change the URLs in all four documents if different).</w:t>
      </w:r>
    </w:p>
    <w:p>
      <w:pPr>
        <w:pStyle w:val="ListBullet"/>
      </w:pPr>
      <w:r>
        <w:t>Privacy Policy: footer of both sites; sign-up form; Chexbill Payments application form (notice at collection — the policy's "California Notice at Collection" line relies on this link being presented where data is collected); invoice payment page; account settings.</w:t>
      </w:r>
    </w:p>
    <w:p>
      <w:pPr>
        <w:pStyle w:val="ListBullet"/>
      </w:pPr>
      <w:r>
        <w:t>Cookie Notice: footer of both sites; linked from the Privacy Policy and Terms.</w:t>
      </w:r>
    </w:p>
    <w:p>
      <w:pPr>
        <w:pStyle w:val="ListBullet"/>
      </w:pPr>
      <w:r>
        <w:t xml:space="preserve">DPA: </w:t>
      </w:r>
      <w:r>
        <w:t>https://chexbill.com/dpa</w:t>
      </w:r>
      <w:r>
        <w:t xml:space="preserve">, linked from Terms §3.3 and from account settings; offer a countersigned PDF on request (or incorporate by reference per B.2.9). Maintain the subprocessor list at </w:t>
      </w:r>
      <w:r>
        <w:t>https://chexbill.com/subprocessors</w:t>
      </w:r>
      <w:r>
        <w:t xml:space="preserve"> and email customers 15 days before adding a subprocessor (DPA §7(d)).</w:t>
      </w:r>
    </w:p>
    <w:p>
      <w:r>
        <w:rPr>
          <w:b/>
        </w:rPr>
        <w:t>Acceptance mechanics</w:t>
      </w:r>
    </w:p>
    <w:p>
      <w:pPr>
        <w:pStyle w:val="ListBullet"/>
      </w:pPr>
      <w:r>
        <w:t>Sign-up: unchecked checkbox or "By creating an account you agree to the Terms of Service and acknowledge the Privacy Policy" with both hyperlinked; record timestamp, user ID, Terms version, and IP address.</w:t>
      </w:r>
    </w:p>
    <w:p>
      <w:pPr>
        <w:pStyle w:val="ListBullet"/>
      </w:pPr>
      <w:r>
        <w:t>Organization creation and plan purchase: re-present the Terms (version) and the auto-renewal statement (Terms §5.2) in plain sight before the "Subscribe" button, with price, period, and renewal date; email a confirmation containing the same.</w:t>
      </w:r>
    </w:p>
    <w:p>
      <w:pPr>
        <w:pStyle w:val="ListBullet"/>
      </w:pPr>
      <w:r>
        <w:t>Material changes: email notice to all account holders (Terms §15.1; Privacy Policy "Changes"); for fee changes, email at least 30 days before the renewal (§5.6).</w:t>
      </w:r>
    </w:p>
    <w:p>
      <w:pPr>
        <w:pStyle w:val="ListBullet"/>
      </w:pPr>
      <w:r>
        <w:t>Arbitration opt-out: route emails to legal@chexbill.com and log opt-outs by account; 30-day window runs from first acceptance (§16.10).</w:t>
      </w:r>
    </w:p>
    <w:p>
      <w:pPr>
        <w:pStyle w:val="ListBullet"/>
      </w:pPr>
      <w:r>
        <w:t>Payment page for Payors: short notice with links; no checkbox required by the templates, but consider one.</w:t>
      </w:r>
    </w:p>
    <w:p>
      <w:r>
        <w:rPr>
          <w:b/>
        </w:rPr>
        <w:t>Versioning</w:t>
      </w:r>
    </w:p>
    <w:p>
      <w:pPr>
        <w:pStyle w:val="ListBullet"/>
      </w:pPr>
      <w:r>
        <w:t>Keep the "Version" and "Last updated" lines; archive each published version with its effective date (the template's "previous version" link was removed for v1.0 and can be reinstated from v1.1).</w:t>
      </w:r>
    </w:p>
    <w:p>
      <w:pPr>
        <w:pStyle w:val="ListBullet"/>
      </w:pPr>
      <w:r>
        <w:t>Store accepted-version records per user and per Organization.</w:t>
      </w:r>
    </w:p>
    <w:p>
      <w:pPr>
        <w:pStyle w:val="ListBullet"/>
      </w:pPr>
      <w:r>
        <w:t>Re-run this review when any of the following changes: a vendor is added or replaced (DPA Annex 4, Privacy Policy sharing list, Cookie Notice table); an ad pixel or session-replay tool is added (Cookie Notice and Privacy Policy "sale/share" statements must change); EU/UK customers are accepted (switch to GDPR privacy policy and Global DPA); a mobile app launches; sales tax collection begins; pricing or trial terms change.</w:t>
      </w:r>
    </w:p>
    <w:p>
      <w:r>
        <w:rPr>
          <w:b/>
        </w:rPr>
        <w:t>Operational commitments the documents make (make sure they are true in the product)</w:t>
      </w:r>
    </w:p>
    <w:p>
      <w:pPr>
        <w:pStyle w:val="ListBullet"/>
      </w:pPr>
      <w:r>
        <w:t>60-day email notice before auto-deleting a lapsed Organization; 90-day deletion of unconverted trials.</w:t>
      </w:r>
    </w:p>
    <w:p>
      <w:pPr>
        <w:pStyle w:val="ListBullet"/>
      </w:pPr>
      <w:r>
        <w:t>Export prompt before Organization deletion.</w:t>
      </w:r>
    </w:p>
    <w:p>
      <w:pPr>
        <w:pStyle w:val="ListBullet"/>
      </w:pPr>
      <w:r>
        <w:t>7-day grace period on failed payments before suspension.</w:t>
      </w:r>
    </w:p>
    <w:p>
      <w:pPr>
        <w:pStyle w:val="ListBullet"/>
      </w:pPr>
      <w:r>
        <w:t>30-day price-change notice before renewal.</w:t>
      </w:r>
    </w:p>
    <w:p>
      <w:pPr>
        <w:pStyle w:val="ListBullet"/>
      </w:pPr>
      <w:r>
        <w:t>KYC data deleted after submission to the processor.</w:t>
      </w:r>
    </w:p>
    <w:p>
      <w:pPr>
        <w:pStyle w:val="ListBullet"/>
      </w:pPr>
      <w:r>
        <w:t>GPC signals honored; DNT not honored.</w:t>
      </w:r>
    </w:p>
    <w:p>
      <w:pPr>
        <w:pStyle w:val="ListBullet"/>
      </w:pPr>
      <w:r>
        <w:t>Privacy requests answered via privacy@chexbill.com and account settings, verified by account email.</w:t>
      </w:r>
    </w:p>
    <w:p>
      <w:pPr>
        <w:pStyle w:val="ListBullet"/>
      </w:pPr>
      <w:r>
        <w:t>Incident notification to customers "without undue delay" (DPA §4(c)).</w:t>
      </w:r>
    </w:p>
    <w:p>
      <w:pPr>
        <w:pStyle w:val="ListBullet"/>
      </w:pPr>
      <w:r>
        <w:t>15-day subprocessor-change notice; annual audit right; SOC 2 report acceptance clause (no report exists today).</w:t>
      </w:r>
    </w:p>
    <w:p>
      <w:pPr>
        <w:pStyle w:val="ListBullet"/>
      </w:pPr>
      <w:r>
        <w:t>Notification of IRS acceptance or rejection of filed 1099s.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