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9"/>
          <w:sz w:val="48"/>
          <w:szCs w:val="48"/>
        </w:rPr>
        <w:t xml:space="preserve">CompanyDocuments v2</w:t>
      </w:r>
    </w:p>
    <w:p>
      <w:pPr>
        <w:spacing w:after="80"/>
      </w:pPr>
      <w:r>
        <w:rPr>
          <w:color w:val="404040"/>
          <w:sz w:val="30"/>
          <w:szCs w:val="30"/>
        </w:rPr>
        <w:t xml:space="preserve">Multi-Type Business Document Generator: Extended Design</w:t>
      </w:r>
    </w:p>
    <w:p>
      <w:pPr>
        <w:pBdr>
          <w:bottom w:val="single" w:color="1F4E79" w:sz="8" w:space="6"/>
        </w:pBdr>
        <w:spacing w:after="300"/>
      </w:pPr>
      <w:r>
        <w:rPr>
          <w:color w:val="666666"/>
          <w:sz w:val="20"/>
          <w:szCs w:val="20"/>
        </w:rPr>
        <w:t xml:space="preserve">Extends the v1 design notes for the AyoubChLin/CompanyDocuments dataset · Ayoub Cherguelaine · October 2026</w:t>
      </w:r>
    </w:p>
    <w:p>
      <w:pPr>
        <w:spacing w:after="120"/>
      </w:pPr>
      <w:r>
        <w:t xml:space="preserve">The v1 notes describe a clean three-layer generator (data, layout, style) proven on invoices, purchase orders and packing slips. This document takes that design to a full catalog of business documents (48 types across nine families) in English, French and Arabic, without losing the properties that make v1 good: correct numbers, free gold labels, reproducibility and a self-check gate.</w:t>
      </w:r>
    </w:p>
    <w:p>
      <w:pPr>
        <w:spacing w:after="120"/>
      </w:pPr>
      <w:r>
        <w:t xml:space="preserve">The central change is one new layer underneath the others: a </w:t>
      </w:r>
      <w:r>
        <w:rPr>
          <w:b/>
          <w:bCs/>
        </w:rPr>
        <w:t xml:space="preserve">synthetic business world</w:t>
      </w:r>
      <w:r>
        <w:t xml:space="preserve">. Documents stop being independent renders of a database row and become views of business events, so an invoice, its purchase order, its packing slip, its credit note and the customer statement that lists it all agree with each other. That consistency is what makes the dataset useful beyond single-page extraction: for classification, cross-document matching, three-way match and multi-document QA.</w:t>
      </w:r>
    </w:p>
    <w:p>
      <w:pPr>
        <w:pStyle w:val="Heading1"/>
      </w:pPr>
      <w:r>
        <w:t xml:space="preserve">1. Goals and non-goals</w:t>
      </w:r>
    </w:p>
    <w:p>
      <w:pPr>
        <w:pStyle w:val="Heading2"/>
      </w:pPr>
      <w:r>
        <w:t xml:space="preserve">Goals</w:t>
      </w:r>
    </w:p>
    <w:p>
      <w:pPr>
        <w:pStyle w:val="ListParagraph"/>
        <w:numPr>
          <w:ilvl w:val="0"/>
          <w:numId w:val="2"/>
        </w:numPr>
        <w:spacing w:after="60"/>
      </w:pPr>
      <w:r>
        <w:rPr>
          <w:b/>
          <w:bCs/>
        </w:rPr>
        <w:t xml:space="preserve">Breadth:</w:t>
      </w:r>
      <w:r>
        <w:t xml:space="preserve"> 48 document types covering commerce, procurement, logistics, finance, banking, HR, legal, corporate admin and everyday business correspondence.</w:t>
      </w:r>
    </w:p>
    <w:p>
      <w:pPr>
        <w:pStyle w:val="ListParagraph"/>
        <w:numPr>
          <w:ilvl w:val="0"/>
          <w:numId w:val="2"/>
        </w:numPr>
        <w:spacing w:after="60"/>
      </w:pPr>
      <w:r>
        <w:rPr>
          <w:b/>
          <w:bCs/>
        </w:rPr>
        <w:t xml:space="preserve">Depth per type:</w:t>
      </w:r>
      <w:r>
        <w:t xml:space="preserve"> each type gets several layout families, label-synonym variation, optional sections and realistic length distributions, so no type collapses to one look.</w:t>
      </w:r>
    </w:p>
    <w:p>
      <w:pPr>
        <w:pStyle w:val="ListParagraph"/>
        <w:numPr>
          <w:ilvl w:val="0"/>
          <w:numId w:val="2"/>
        </w:numPr>
        <w:spacing w:after="60"/>
      </w:pPr>
      <w:r>
        <w:rPr>
          <w:b/>
          <w:bCs/>
        </w:rPr>
        <w:t xml:space="preserve">Three locales from day one of each phase:</w:t>
      </w:r>
      <w:r>
        <w:t xml:space="preserve"> English, French, Arabic (RTL), plus bilingual variants (French/Arabic, English/Arabic) that are common in Algeria, Morocco, Tunisia and the Gulf.</w:t>
      </w:r>
    </w:p>
    <w:p>
      <w:pPr>
        <w:pStyle w:val="ListParagraph"/>
        <w:numPr>
          <w:ilvl w:val="0"/>
          <w:numId w:val="2"/>
        </w:numPr>
        <w:spacing w:after="60"/>
      </w:pPr>
      <w:r>
        <w:rPr>
          <w:b/>
          <w:bCs/>
        </w:rPr>
        <w:t xml:space="preserve">Correct by construction:</w:t>
      </w:r>
      <w:r>
        <w:t xml:space="preserve"> every number, date, reference and cross-document link is computed in the data layer and verified after rendering.</w:t>
      </w:r>
    </w:p>
    <w:p>
      <w:pPr>
        <w:pStyle w:val="ListParagraph"/>
        <w:numPr>
          <w:ilvl w:val="0"/>
          <w:numId w:val="2"/>
        </w:numPr>
        <w:spacing w:after="60"/>
      </w:pPr>
      <w:r>
        <w:rPr>
          <w:b/>
          <w:bCs/>
        </w:rPr>
        <w:t xml:space="preserve">Rich supervision for free:</w:t>
      </w:r>
      <w:r>
        <w:t xml:space="preserve"> gold JSON, word boxes, field boxes, reading order, document class, and bundle-level links between documents.</w:t>
      </w:r>
    </w:p>
    <w:p>
      <w:pPr>
        <w:pStyle w:val="ListParagraph"/>
        <w:numPr>
          <w:ilvl w:val="0"/>
          <w:numId w:val="2"/>
        </w:numPr>
        <w:spacing w:after="60"/>
      </w:pPr>
      <w:r>
        <w:rPr>
          <w:b/>
          <w:bCs/>
        </w:rPr>
        <w:t xml:space="preserve">Reproducible and versioned:</w:t>
      </w:r>
      <w:r>
        <w:t xml:space="preserve"> a YAML config plus seeds regenerates any release exactly.</w:t>
      </w:r>
    </w:p>
    <w:p>
      <w:pPr>
        <w:pStyle w:val="Heading2"/>
      </w:pPr>
      <w:r>
        <w:t xml:space="preserve">Non-goals</w:t>
      </w:r>
    </w:p>
    <w:p>
      <w:pPr>
        <w:pStyle w:val="ListParagraph"/>
        <w:numPr>
          <w:ilvl w:val="0"/>
          <w:numId w:val="2"/>
        </w:numPr>
        <w:spacing w:after="60"/>
      </w:pPr>
      <w:r>
        <w:rPr>
          <w:b/>
          <w:bCs/>
        </w:rPr>
        <w:t xml:space="preserve">Not legal or tax-accurate templates.</w:t>
      </w:r>
      <w:r>
        <w:t xml:space="preserve"> Tax and payroll rules are simplified but internally consistent. The goal is realistic structure, not compliance.</w:t>
      </w:r>
    </w:p>
    <w:p>
      <w:pPr>
        <w:pStyle w:val="ListParagraph"/>
        <w:numPr>
          <w:ilvl w:val="0"/>
          <w:numId w:val="2"/>
        </w:numPr>
        <w:spacing w:after="60"/>
      </w:pPr>
      <w:r>
        <w:rPr>
          <w:b/>
          <w:bCs/>
        </w:rPr>
        <w:t xml:space="preserve">No imitation of real organizations or official forms.</w:t>
      </w:r>
      <w:r>
        <w:t xml:space="preserve"> All issuers, banks, authorities and logos are fictional; government-style documents use a fictional issuing body and can carry a SPECIMEN mark (see section 13).</w:t>
      </w:r>
    </w:p>
    <w:p>
      <w:pPr>
        <w:pStyle w:val="ListParagraph"/>
        <w:numPr>
          <w:ilvl w:val="0"/>
          <w:numId w:val="2"/>
        </w:numPr>
        <w:spacing w:after="60"/>
      </w:pPr>
      <w:r>
        <w:rPr>
          <w:b/>
          <w:bCs/>
        </w:rPr>
        <w:t xml:space="preserve">No GPU dependency.</w:t>
      </w:r>
      <w:r>
        <w:t xml:space="preserve"> Everything runs on a CPU laptop; an optional LLM paraphrase pass is offline and cached.</w:t>
      </w:r>
    </w:p>
    <w:p>
      <w:pPr>
        <w:pStyle w:val="Heading1"/>
      </w:pPr>
      <w:r>
        <w:t xml:space="preserve">2. Architecture: from three layers to a pipeline</w:t>
      </w:r>
    </w:p>
    <w:p>
      <w:pPr>
        <w:spacing w:after="120"/>
      </w:pPr>
      <w:r>
        <w:t xml:space="preserve">v1 had three layers. v2 keeps them and adds the stages around them. Each stage has one responsibility and a typed contract with the next, so a new document type touches only the stages it needs.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
        <w:gridCol w:w="1263"/>
        <w:gridCol w:w="5054"/>
        <w:gridCol w:w="2258"/>
      </w:tblGrid>
      <w:tr>
        <w:trPr>
          <w:tblHeader/>
        </w:trPr>
        <w:tc>
          <w:tcPr>
            <w:tcW w:type="dxa" w:w="45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w:t>
            </w:r>
          </w:p>
        </w:tc>
        <w:tc>
          <w:tcPr>
            <w:tcW w:type="dxa" w:w="126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Stage</w:t>
            </w:r>
          </w:p>
        </w:tc>
        <w:tc>
          <w:tcPr>
            <w:tcW w:type="dxa" w:w="505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Responsibility</w:t>
            </w:r>
          </w:p>
        </w:tc>
        <w:tc>
          <w:tcPr>
            <w:tcW w:type="dxa" w:w="225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Output</w:t>
            </w:r>
          </w:p>
        </w:tc>
      </w:tr>
      <w:tr>
        <w:trPr>
          <w:cantSplit/>
        </w:trPr>
        <w:tc>
          <w:tcPr>
            <w:tcW w:type="dxa" w:w="4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World</w:t>
            </w:r>
          </w:p>
        </w:tc>
        <w:tc>
          <w:tcPr>
            <w:tcW w:type="dxa" w:w="50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Builds a seeded synthetic economy: issuer companies, counterparties, people, banks, products, and a timeline of business events. Northwind is imported into it.</w:t>
            </w:r>
          </w:p>
        </w:tc>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44444"/>
                <w:sz w:val="18"/>
                <w:szCs w:val="18"/>
              </w:rPr>
              <w:t xml:space="preserve">world.sqlite</w:t>
            </w:r>
            <w:r>
              <w:rPr>
                <w:sz w:val="18"/>
                <w:szCs w:val="18"/>
              </w:rPr>
              <w:t xml:space="preserve"> (or parquet)</w:t>
            </w:r>
          </w:p>
        </w:tc>
      </w:tr>
      <w:tr>
        <w:trPr>
          <w:cantSplit/>
        </w:trPr>
        <w:tc>
          <w:tcPr>
            <w:tcW w:type="dxa" w:w="4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Event → Record</w:t>
            </w:r>
          </w:p>
        </w:tc>
        <w:tc>
          <w:tcPr>
            <w:tcW w:type="dxa" w:w="50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For each event, a type-specific builder produces a canonical, validated record (Pydantic). All arithmetic happens here with Decimal.</w:t>
            </w:r>
          </w:p>
        </w:tc>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Canonical record</w:t>
            </w:r>
          </w:p>
        </w:tc>
      </w:tr>
      <w:tr>
        <w:trPr>
          <w:cantSplit/>
        </w:trPr>
        <w:tc>
          <w:tcPr>
            <w:tcW w:type="dxa" w:w="4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Locale</w:t>
            </w:r>
          </w:p>
        </w:tc>
        <w:tc>
          <w:tcPr>
            <w:tcW w:type="dxa" w:w="50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Formats every value for the target locale (numbers, dates, currency, digits, direction) and picks label synonyms. Stores both </w:t>
            </w:r>
            <w:r>
              <w:rPr>
                <w:rFonts w:ascii="Consolas" w:cs="Consolas" w:eastAsia="Consolas" w:hAnsi="Consolas"/>
                <w:color w:val="444444"/>
                <w:sz w:val="18"/>
                <w:szCs w:val="18"/>
              </w:rPr>
              <w:t xml:space="preserve">value</w:t>
            </w:r>
            <w:r>
              <w:rPr>
                <w:sz w:val="18"/>
                <w:szCs w:val="18"/>
              </w:rPr>
              <w:t xml:space="preserve"> and the exact </w:t>
            </w:r>
            <w:r>
              <w:rPr>
                <w:rFonts w:ascii="Consolas" w:cs="Consolas" w:eastAsia="Consolas" w:hAnsi="Consolas"/>
                <w:color w:val="444444"/>
                <w:sz w:val="18"/>
                <w:szCs w:val="18"/>
              </w:rPr>
              <w:t xml:space="preserve">display</w:t>
            </w:r>
            <w:r>
              <w:rPr>
                <w:sz w:val="18"/>
                <w:szCs w:val="18"/>
              </w:rPr>
              <w:t xml:space="preserve"> string.</w:t>
            </w:r>
          </w:p>
        </w:tc>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Localized view model</w:t>
            </w:r>
          </w:p>
        </w:tc>
      </w:tr>
      <w:tr>
        <w:trPr>
          <w:cantSplit/>
        </w:trPr>
        <w:tc>
          <w:tcPr>
            <w:tcW w:type="dxa" w:w="4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Layout</w:t>
            </w:r>
          </w:p>
        </w:tc>
        <w:tc>
          <w:tcPr>
            <w:tcW w:type="dxa" w:w="50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layout family composes components into slots for the document's structure class.</w:t>
            </w:r>
          </w:p>
        </w:tc>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Jinja2 HTML</w:t>
            </w:r>
          </w:p>
        </w:tc>
      </w:tr>
      <w:tr>
        <w:trPr>
          <w:cantSplit/>
        </w:trPr>
        <w:tc>
          <w:tcPr>
            <w:tcW w:type="dxa" w:w="4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Style</w:t>
            </w:r>
          </w:p>
        </w:tc>
        <w:tc>
          <w:tcPr>
            <w:tcW w:type="dxa" w:w="50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theme sets fonts, colors, spacing, table style, logo, borders.</w:t>
            </w:r>
          </w:p>
        </w:tc>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CSS</w:t>
            </w:r>
          </w:p>
        </w:tc>
      </w:tr>
      <w:tr>
        <w:trPr>
          <w:cantSplit/>
        </w:trPr>
        <w:tc>
          <w:tcPr>
            <w:tcW w:type="dxa" w:w="4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Render</w:t>
            </w:r>
          </w:p>
        </w:tc>
        <w:tc>
          <w:tcPr>
            <w:tcW w:type="dxa" w:w="50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WeasyPrint to PDF; rasterize pages to PNG.</w:t>
            </w:r>
          </w:p>
        </w:tc>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PDF + PNG</w:t>
            </w:r>
          </w:p>
        </w:tc>
      </w:tr>
      <w:tr>
        <w:trPr>
          <w:cantSplit/>
        </w:trPr>
        <w:tc>
          <w:tcPr>
            <w:tcW w:type="dxa" w:w="4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Annotate</w:t>
            </w:r>
          </w:p>
        </w:tc>
        <w:tc>
          <w:tcPr>
            <w:tcW w:type="dxa" w:w="50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Extract words and boxes with PyMuPDF, align to gold </w:t>
            </w:r>
            <w:r>
              <w:rPr>
                <w:rFonts w:ascii="Consolas" w:cs="Consolas" w:eastAsia="Consolas" w:hAnsi="Consolas"/>
                <w:color w:val="444444"/>
                <w:sz w:val="18"/>
                <w:szCs w:val="18"/>
              </w:rPr>
              <w:t xml:space="preserve">display</w:t>
            </w:r>
            <w:r>
              <w:rPr>
                <w:sz w:val="18"/>
                <w:szCs w:val="18"/>
              </w:rPr>
              <w:t xml:space="preserve"> strings, emit export formats.</w:t>
            </w:r>
          </w:p>
        </w:tc>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Gold JSON, boxes, exports</w:t>
            </w:r>
          </w:p>
        </w:tc>
      </w:tr>
      <w:tr>
        <w:trPr>
          <w:cantSplit/>
        </w:trPr>
        <w:tc>
          <w:tcPr>
            <w:tcW w:type="dxa" w:w="4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Validate</w:t>
            </w:r>
          </w:p>
        </w:tc>
        <w:tc>
          <w:tcPr>
            <w:tcW w:type="dxa" w:w="50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Self-check: fields present, arithmetic, cross-document links, overflow, glyph coverage, bidi.</w:t>
            </w:r>
          </w:p>
        </w:tc>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pass / drop + reason</w:t>
            </w:r>
          </w:p>
        </w:tc>
      </w:tr>
      <w:tr>
        <w:trPr>
          <w:cantSplit/>
        </w:trPr>
        <w:tc>
          <w:tcPr>
            <w:tcW w:type="dxa" w:w="4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8</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Degrade</w:t>
            </w:r>
          </w:p>
        </w:tc>
        <w:tc>
          <w:tcPr>
            <w:tcW w:type="dxa" w:w="50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Optional scan / photo / fax augmentation on rasters, keeping the clean twin.</w:t>
            </w:r>
          </w:p>
        </w:tc>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Noisy PNG + transform log</w:t>
            </w:r>
          </w:p>
        </w:tc>
      </w:tr>
    </w:tbl>
    <w:p>
      <w:pPr>
        <w:spacing w:after="120"/>
      </w:pPr>
    </w:p>
    <w:p>
      <w:pPr>
        <w:spacing w:after="120"/>
      </w:pPr>
      <w:r>
        <w:t xml:space="preserve">Diversity still multiplies: doc_type × layout × theme × locale × label variant × content variation. With 48 types, an average of 5 layouts per structure class, 8 themes and 5 locale variants (en, fr, ar, fr-ar, en-ar), the space is 48 × 5 × 8 × 5 = 9,600 distinct looks before content variation, against 60 per type in v1.</w:t>
      </w:r>
    </w:p>
    <w:p>
      <w:pPr>
        <w:pStyle w:val="Heading1"/>
      </w:pPr>
      <w:r>
        <w:t xml:space="preserve">3. The synthetic business world</w:t>
      </w:r>
    </w:p>
    <w:p>
      <w:pPr>
        <w:spacing w:after="120"/>
      </w:pPr>
      <w:r>
        <w:t xml:space="preserve">This is the main addition. Instead of mapping rows to documents one by one, the generator first builds a small economy and simulates what happens in it. Documents are then rendered from events.</w:t>
      </w:r>
    </w:p>
    <w:p>
      <w:pPr>
        <w:pStyle w:val="Heading2"/>
      </w:pPr>
      <w:r>
        <w:t xml:space="preserve">3.1 Entities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2437"/>
        <w:gridCol w:w="4965"/>
      </w:tblGrid>
      <w:tr>
        <w:trPr>
          <w:tblHeader/>
        </w:trPr>
        <w:tc>
          <w:tcPr>
            <w:tcW w:type="dxa" w:w="162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Entity</w:t>
            </w:r>
          </w:p>
        </w:tc>
        <w:tc>
          <w:tcPr>
            <w:tcW w:type="dxa" w:w="243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Source</w:t>
            </w:r>
          </w:p>
        </w:tc>
        <w:tc>
          <w:tcPr>
            <w:tcW w:type="dxa" w:w="496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Key attributes</w:t>
            </w:r>
          </w:p>
        </w:tc>
      </w:tr>
      <w:tr>
        <w:trPr>
          <w:cantSplit/>
        </w:trPr>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Issuer company</w:t>
            </w:r>
          </w:p>
        </w:tc>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Synthetic (50 to 200 per release)</w:t>
            </w:r>
          </w:p>
        </w:tc>
        <w:tc>
          <w:tcPr>
            <w:tcW w:type="dxa" w:w="4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Legal name, trade name, legal form (SARL, SAS, SPA, LLC, Ltd, EURL…), country, addresses, tax IDs, registration numbers, bank accounts, logo, letterhead style, document numbering scheme, default currency, VAT regime, fiscal year.</w:t>
            </w:r>
          </w:p>
        </w:tc>
      </w:tr>
      <w:tr>
        <w:trPr>
          <w:cantSplit/>
        </w:trPr>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Counterparty</w:t>
            </w:r>
          </w:p>
        </w:tc>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Northwind Customers and Suppliers, plus synthetic</w:t>
            </w:r>
          </w:p>
        </w:tc>
        <w:tc>
          <w:tcPr>
            <w:tcW w:type="dxa" w:w="4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Same as issuer but lighter; role (customer, supplier, carrier, landlord, insurer).</w:t>
            </w:r>
          </w:p>
        </w:tc>
      </w:tr>
      <w:tr>
        <w:trPr>
          <w:cantSplit/>
        </w:trPr>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Person</w:t>
            </w:r>
          </w:p>
        </w:tc>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Northwind Employees, plus synthetic</w:t>
            </w:r>
          </w:p>
        </w:tc>
        <w:tc>
          <w:tcPr>
            <w:tcW w:type="dxa" w:w="4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Name (locale-appropriate), job title, department, manager, hire date, salary band, contract type, ID-like numbers (fictional format).</w:t>
            </w:r>
          </w:p>
        </w:tc>
      </w:tr>
      <w:tr>
        <w:trPr>
          <w:cantSplit/>
        </w:trPr>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Bank</w:t>
            </w:r>
          </w:p>
        </w:tc>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Synthetic</w:t>
            </w:r>
          </w:p>
        </w:tc>
        <w:tc>
          <w:tcPr>
            <w:tcW w:type="dxa" w:w="4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Fictional bank name, branch, SWIFT-like code (fictional), IBAN-like formats with valid checksum structure.</w:t>
            </w:r>
          </w:p>
        </w:tc>
      </w:tr>
      <w:tr>
        <w:trPr>
          <w:cantSplit/>
        </w:trPr>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Product / service</w:t>
            </w:r>
          </w:p>
        </w:tc>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Northwind Products and Categories, plus synthetic services catalog</w:t>
            </w:r>
          </w:p>
        </w:tc>
        <w:tc>
          <w:tcPr>
            <w:tcW w:type="dxa" w:w="4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SKU, name per locale, unit, unit price, HS code (for customs), weight, tax category.</w:t>
            </w:r>
          </w:p>
        </w:tc>
      </w:tr>
      <w:tr>
        <w:trPr>
          <w:cantSplit/>
        </w:trPr>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Carrier</w:t>
            </w:r>
          </w:p>
        </w:tc>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Northwind Shippers, plus synthetic</w:t>
            </w:r>
          </w:p>
        </w:tc>
        <w:tc>
          <w:tcPr>
            <w:tcW w:type="dxa" w:w="4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Mode (road, sea, air), tracking number format, vessel or flight data.</w:t>
            </w:r>
          </w:p>
        </w:tc>
      </w:tr>
    </w:tbl>
    <w:p>
      <w:pPr>
        <w:spacing w:after="120"/>
      </w:pPr>
    </w:p>
    <w:p>
      <w:pPr>
        <w:pStyle w:val="Heading2"/>
      </w:pPr>
      <w:r>
        <w:t xml:space="preserve">3.2 Event timeline</w:t>
      </w:r>
    </w:p>
    <w:p>
      <w:pPr>
        <w:spacing w:after="120"/>
      </w:pPr>
      <w:r>
        <w:t xml:space="preserve">A simulator walks a calendar for each issuer and emits events with probabilities and lags. Every event points to the entities and earlier events it depends on.</w:t>
      </w:r>
    </w:p>
    <w:p>
      <w:pPr>
        <w:shd w:fill="F3F4F6" w:color="auto" w:val="clear"/>
        <w:spacing w:after="0" w:before="60"/>
      </w:pPr>
      <w:r>
        <w:rPr>
          <w:rFonts w:ascii="Consolas" w:cs="Consolas" w:eastAsia="Consolas" w:hAnsi="Consolas"/>
          <w:sz w:val="17"/>
          <w:szCs w:val="17"/>
        </w:rPr>
        <w:t xml:space="preserve">RFQ → Quotation → Sales order / PO → Proforma (opt.)</w:t>
      </w:r>
    </w:p>
    <w:p>
      <w:pPr>
        <w:shd w:fill="F3F4F6" w:color="auto" w:val="clear"/>
        <w:spacing w:after="0" w:before="0"/>
      </w:pPr>
      <w:r>
        <w:rPr>
          <w:rFonts w:ascii="Consolas" w:cs="Consolas" w:eastAsia="Consolas" w:hAnsi="Consolas"/>
          <w:sz w:val="17"/>
          <w:szCs w:val="17"/>
        </w:rPr>
        <w:t xml:space="preserve">  Order → Packing slip → Delivery note / GRN</w:t>
      </w:r>
    </w:p>
    <w:p>
      <w:pPr>
        <w:shd w:fill="F3F4F6" w:color="auto" w:val="clear"/>
        <w:spacing w:after="0" w:before="0"/>
      </w:pPr>
      <w:r>
        <w:rPr>
          <w:rFonts w:ascii="Consolas" w:cs="Consolas" w:eastAsia="Consolas" w:hAnsi="Consolas"/>
          <w:sz w:val="17"/>
          <w:szCs w:val="17"/>
        </w:rPr>
        <w:t xml:space="preserve">        → Bill of lading + Commercial invoice + CoO (export)</w:t>
      </w:r>
    </w:p>
    <w:p>
      <w:pPr>
        <w:shd w:fill="F3F4F6" w:color="auto" w:val="clear"/>
        <w:spacing w:after="0" w:before="0"/>
      </w:pPr>
      <w:r>
        <w:rPr>
          <w:rFonts w:ascii="Consolas" w:cs="Consolas" w:eastAsia="Consolas" w:hAnsi="Consolas"/>
          <w:sz w:val="17"/>
          <w:szCs w:val="17"/>
        </w:rPr>
        <w:t xml:space="preserve">  Order → Invoice → Payment → Receipt / Remittance advice</w:t>
      </w:r>
    </w:p>
    <w:p>
      <w:pPr>
        <w:shd w:fill="F3F4F6" w:color="auto" w:val="clear"/>
        <w:spacing w:after="0" w:before="0"/>
      </w:pPr>
      <w:r>
        <w:rPr>
          <w:rFonts w:ascii="Consolas" w:cs="Consolas" w:eastAsia="Consolas" w:hAnsi="Consolas"/>
          <w:sz w:val="17"/>
          <w:szCs w:val="17"/>
        </w:rPr>
        <w:t xml:space="preserve">          Invoice (late)   → Reminder 1 → Reminder 2 → Final notice</w:t>
      </w:r>
    </w:p>
    <w:p>
      <w:pPr>
        <w:shd w:fill="F3F4F6" w:color="auto" w:val="clear"/>
        <w:spacing w:after="0" w:before="0"/>
      </w:pPr>
      <w:r>
        <w:rPr>
          <w:rFonts w:ascii="Consolas" w:cs="Consolas" w:eastAsia="Consolas" w:hAnsi="Consolas"/>
          <w:sz w:val="17"/>
          <w:szCs w:val="17"/>
        </w:rPr>
        <w:t xml:space="preserve">          Invoice (return) → Credit note</w:t>
      </w:r>
    </w:p>
    <w:p>
      <w:pPr>
        <w:shd w:fill="F3F4F6" w:color="auto" w:val="clear"/>
        <w:spacing w:after="0" w:before="0"/>
      </w:pPr>
      <w:r>
        <w:rPr>
          <w:rFonts w:ascii="Consolas" w:cs="Consolas" w:eastAsia="Consolas" w:hAnsi="Consolas"/>
          <w:sz w:val="17"/>
          <w:szCs w:val="17"/>
        </w:rPr>
        <w:t xml:space="preserve">Month end: Account statement · Bank statement · Payslips · Expenses</w:t>
      </w:r>
    </w:p>
    <w:p>
      <w:pPr>
        <w:shd w:fill="F3F4F6" w:color="auto" w:val="clear"/>
        <w:spacing w:after="0" w:before="0"/>
      </w:pPr>
      <w:r>
        <w:rPr>
          <w:rFonts w:ascii="Consolas" w:cs="Consolas" w:eastAsia="Consolas" w:hAnsi="Consolas"/>
          <w:sz w:val="17"/>
          <w:szCs w:val="17"/>
        </w:rPr>
        <w:t xml:space="preserve">HR:        Offer letter → Employment contract → Work certificate</w:t>
      </w:r>
    </w:p>
    <w:p>
      <w:pPr>
        <w:shd w:fill="F3F4F6" w:color="auto" w:val="clear"/>
        <w:spacing w:after="160" w:before="0"/>
      </w:pPr>
      <w:r>
        <w:rPr>
          <w:rFonts w:ascii="Consolas" w:cs="Consolas" w:eastAsia="Consolas" w:hAnsi="Consolas"/>
          <w:sz w:val="17"/>
          <w:szCs w:val="17"/>
        </w:rPr>
        <w:t xml:space="preserve">Legal:     NDA → Service agreement → Minutes · Memos · Letters</w:t>
      </w:r>
    </w:p>
    <w:p>
      <w:pPr>
        <w:pStyle w:val="Heading2"/>
      </w:pPr>
      <w:r>
        <w:t xml:space="preserve">3.3 Why this matters for the dataset</w:t>
      </w:r>
    </w:p>
    <w:p>
      <w:pPr>
        <w:pStyle w:val="ListParagraph"/>
        <w:numPr>
          <w:ilvl w:val="0"/>
          <w:numId w:val="2"/>
        </w:numPr>
        <w:spacing w:after="60"/>
      </w:pPr>
      <w:r>
        <w:rPr>
          <w:b/>
          <w:bCs/>
        </w:rPr>
        <w:t xml:space="preserve">Cross-document consistency:</w:t>
      </w:r>
      <w:r>
        <w:t xml:space="preserve"> the PO number on the invoice exists, the packing slip quantities match the order, the statement's opening balance equals last month's closing balance.</w:t>
      </w:r>
    </w:p>
    <w:p>
      <w:pPr>
        <w:pStyle w:val="ListParagraph"/>
        <w:numPr>
          <w:ilvl w:val="0"/>
          <w:numId w:val="2"/>
        </w:numPr>
        <w:spacing w:after="60"/>
      </w:pPr>
      <w:r>
        <w:rPr>
          <w:b/>
          <w:bCs/>
        </w:rPr>
        <w:t xml:space="preserve">New tasks for free:</w:t>
      </w:r>
      <w:r>
        <w:t xml:space="preserve"> document bundles enable three-way match (PO, GRN, invoice), invoice-to-payment reconciliation, duplicate detection, and multi-document QA ("what is still owed on order 10248?").</w:t>
      </w:r>
    </w:p>
    <w:p>
      <w:pPr>
        <w:pStyle w:val="ListParagraph"/>
        <w:numPr>
          <w:ilvl w:val="0"/>
          <w:numId w:val="2"/>
        </w:numPr>
        <w:spacing w:after="60"/>
      </w:pPr>
      <w:r>
        <w:rPr>
          <w:b/>
          <w:bCs/>
        </w:rPr>
        <w:t xml:space="preserve">Northwind is reused, not stretched:</w:t>
      </w:r>
      <w:r>
        <w:t xml:space="preserve"> Orders and Order Details drive the order-to-cash chain; Employees drive HR; Shippers drive logistics; Suppliers drive procure-to-pay. Types Northwind cannot cover get synthetic events that use the same entities.</w:t>
      </w:r>
    </w:p>
    <w:p>
      <w:pPr>
        <w:pStyle w:val="Heading2"/>
      </w:pPr>
      <w:r>
        <w:t xml:space="preserve">3.4 Northwind mapping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4061"/>
        <w:gridCol w:w="2709"/>
      </w:tblGrid>
      <w:tr>
        <w:trPr>
          <w:tblHeader/>
        </w:trPr>
        <w:tc>
          <w:tcPr>
            <w:tcW w:type="dxa" w:w="225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Northwind table</w:t>
            </w:r>
          </w:p>
        </w:tc>
        <w:tc>
          <w:tcPr>
            <w:tcW w:type="dxa" w:w="406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Feeds</w:t>
            </w:r>
          </w:p>
        </w:tc>
        <w:tc>
          <w:tcPr>
            <w:tcW w:type="dxa" w:w="270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Notes</w:t>
            </w:r>
          </w:p>
        </w:tc>
      </w:tr>
      <w:tr>
        <w:trPr>
          <w:cantSplit/>
        </w:trP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Orders, Order Details</w:t>
            </w:r>
          </w:p>
        </w:tc>
        <w:tc>
          <w:tcPr>
            <w:tcW w:type="dxa" w:w="40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Quotation, sales order, invoice, proforma, packing slip, delivery note, credit note, receipt</w:t>
            </w:r>
          </w:p>
        </w:tc>
        <w:tc>
          <w:tcPr>
            <w:tcW w:type="dxa" w:w="27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Shift OrderDate into the release's calendar window; keep original IDs in metadata.</w:t>
            </w:r>
          </w:p>
        </w:tc>
      </w:tr>
      <w:tr>
        <w:trPr>
          <w:cantSplit/>
        </w:trP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Customers</w:t>
            </w:r>
          </w:p>
        </w:tc>
        <w:tc>
          <w:tcPr>
            <w:tcW w:type="dxa" w:w="40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Counterparties, statements, reminders</w:t>
            </w:r>
          </w:p>
        </w:tc>
        <w:tc>
          <w:tcPr>
            <w:tcW w:type="dxa" w:w="27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Re-localize names and addresses for fr/ar variants or keep originals for export scenarios.</w:t>
            </w:r>
          </w:p>
        </w:tc>
      </w:tr>
      <w:tr>
        <w:trPr>
          <w:cantSplit/>
        </w:trP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Suppliers, Products</w:t>
            </w:r>
          </w:p>
        </w:tc>
        <w:tc>
          <w:tcPr>
            <w:tcW w:type="dxa" w:w="40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Purchase orders, GRN, supplier invoices, RFQs, price lists</w:t>
            </w:r>
          </w:p>
        </w:tc>
        <w:tc>
          <w:tcPr>
            <w:tcW w:type="dxa" w:w="27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Issuer becomes the buyer; Northwind supplier becomes the seller.</w:t>
            </w:r>
          </w:p>
        </w:tc>
      </w:tr>
      <w:tr>
        <w:trPr>
          <w:cantSplit/>
        </w:trP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Shippers</w:t>
            </w:r>
          </w:p>
        </w:tc>
        <w:tc>
          <w:tcPr>
            <w:tcW w:type="dxa" w:w="40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Bill of lading, waybill, shipping labels</w:t>
            </w:r>
          </w:p>
        </w:tc>
        <w:tc>
          <w:tcPr>
            <w:tcW w:type="dxa" w:w="27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Add synthetic vessels, ports and container numbers.</w:t>
            </w:r>
          </w:p>
        </w:tc>
      </w:tr>
      <w:tr>
        <w:trPr>
          <w:cantSplit/>
        </w:trP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Employees, EmployeeTerritories</w:t>
            </w:r>
          </w:p>
        </w:tc>
        <w:tc>
          <w:tcPr>
            <w:tcW w:type="dxa" w:w="40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Payslips, offer letters, contracts, work certificates, timesheets, expense reports</w:t>
            </w:r>
          </w:p>
        </w:tc>
        <w:tc>
          <w:tcPr>
            <w:tcW w:type="dxa" w:w="27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Salaries are synthetic; Northwind has none.</w:t>
            </w:r>
          </w:p>
        </w:tc>
      </w:tr>
      <w:tr>
        <w:trPr>
          <w:cantSplit/>
        </w:trP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Categories, Territories, Region</w:t>
            </w:r>
          </w:p>
        </w:tc>
        <w:tc>
          <w:tcPr>
            <w:tcW w:type="dxa" w:w="40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Product grouping, sales reports, territory memos</w:t>
            </w:r>
          </w:p>
        </w:tc>
        <w:tc>
          <w:tcPr>
            <w:tcW w:type="dxa" w:w="27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Useful for report-style documents.</w:t>
            </w:r>
          </w:p>
        </w:tc>
      </w:tr>
    </w:tbl>
    <w:p>
      <w:pPr>
        <w:spacing w:after="120"/>
      </w:pPr>
    </w:p>
    <w:p>
      <w:r>
        <w:br w:type="page"/>
      </w:r>
    </w:p>
    <w:p>
      <w:pPr>
        <w:pStyle w:val="Heading1"/>
      </w:pPr>
      <w:r>
        <w:t xml:space="preserve">4. Document catalog</w:t>
      </w:r>
    </w:p>
    <w:p>
      <w:pPr>
        <w:spacing w:after="120"/>
      </w:pPr>
      <w:r>
        <w:t xml:space="preserve">Every type belongs to one </w:t>
      </w:r>
      <w:r>
        <w:rPr>
          <w:b/>
          <w:bCs/>
        </w:rPr>
        <w:t xml:space="preserve">structure class</w:t>
      </w:r>
      <w:r>
        <w:t xml:space="preserve">. The class decides which layout families and components apply, so 48 types need only six layout grammars, not 48 templates.</w:t>
      </w:r>
    </w:p>
    <w:p>
      <w:pPr>
        <w:pStyle w:val="Heading2"/>
      </w:pPr>
      <w:r>
        <w:t xml:space="preserve">4.1 Structure classes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1985"/>
        <w:gridCol w:w="3339"/>
        <w:gridCol w:w="2258"/>
      </w:tblGrid>
      <w:tr>
        <w:trPr>
          <w:tblHeader/>
        </w:trPr>
        <w:tc>
          <w:tcPr>
            <w:tcW w:type="dxa" w:w="144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Class</w:t>
            </w:r>
          </w:p>
        </w:tc>
        <w:tc>
          <w:tcPr>
            <w:tcW w:type="dxa" w:w="198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Shape</w:t>
            </w:r>
          </w:p>
        </w:tc>
        <w:tc>
          <w:tcPr>
            <w:tcW w:type="dxa" w:w="333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Typical components</w:t>
            </w:r>
          </w:p>
        </w:tc>
        <w:tc>
          <w:tcPr>
            <w:tcW w:type="dxa" w:w="225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Examples</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 Transactional</w:t>
            </w:r>
          </w:p>
        </w:tc>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Header, parties, line table, totals</w:t>
            </w:r>
          </w:p>
        </w:tc>
        <w:tc>
          <w:tcPr>
            <w:tcW w:type="dxa" w:w="33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header, party_block, meta_grid, line_table, totals, tax_summary, payment_block, footer</w:t>
            </w:r>
          </w:p>
        </w:tc>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Invoice, PO, quotation, credit note</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 Ledger</w:t>
            </w:r>
          </w:p>
        </w:tc>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Long table with running balance, period</w:t>
            </w:r>
          </w:p>
        </w:tc>
        <w:tc>
          <w:tcPr>
            <w:tcW w:type="dxa" w:w="33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header, account_block, period_bar, ledger_table, balance_summary, aging_table</w:t>
            </w:r>
          </w:p>
        </w:tc>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Bank statement, account statement</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 Form</w:t>
            </w:r>
          </w:p>
        </w:tc>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Key-value grid, boxes, checkboxes</w:t>
            </w:r>
          </w:p>
        </w:tc>
        <w:tc>
          <w:tcPr>
            <w:tcW w:type="dxa" w:w="33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form_grid, checkbox_group, signature_block, stamp, barcode</w:t>
            </w:r>
          </w:p>
        </w:tc>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Bill of lading, GRN, leave request, customs declaration</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 Narrative</w:t>
            </w:r>
          </w:p>
        </w:tc>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Letterhead plus clauses or paragraphs</w:t>
            </w:r>
          </w:p>
        </w:tc>
        <w:tc>
          <w:tcPr>
            <w:tcW w:type="dxa" w:w="33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letterhead, address_window, subject_line, clause_list, signature_block, annex</w:t>
            </w:r>
          </w:p>
        </w:tc>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NDA, contract, offer letter, minutes</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 Compact</w:t>
            </w:r>
          </w:p>
        </w:tc>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Narrow, dense, small</w:t>
            </w:r>
          </w:p>
        </w:tc>
        <w:tc>
          <w:tcPr>
            <w:tcW w:type="dxa" w:w="33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mini_header, item_lines, total_line, qr, barcode</w:t>
            </w:r>
          </w:p>
        </w:tc>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POS receipt, shipping label, cheque</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 Report</w:t>
            </w:r>
          </w:p>
        </w:tc>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Sections, KPIs, charts, tables</w:t>
            </w:r>
          </w:p>
        </w:tc>
        <w:tc>
          <w:tcPr>
            <w:tcW w:type="dxa" w:w="33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cover, kpi_row, chart, section, table</w:t>
            </w:r>
          </w:p>
        </w:tc>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Sales report, financial summary</w:t>
            </w:r>
          </w:p>
        </w:tc>
      </w:tr>
    </w:tbl>
    <w:p>
      <w:pPr>
        <w:spacing w:after="120"/>
      </w:pPr>
    </w:p>
    <w:p>
      <w:pPr>
        <w:pStyle w:val="Heading2"/>
      </w:pPr>
      <w:r>
        <w:t xml:space="preserve">4.2 Full catalog</w:t>
      </w:r>
    </w:p>
    <w:p>
      <w:pPr>
        <w:spacing w:after="120"/>
      </w:pPr>
      <w:r>
        <w:t xml:space="preserve">Phase column: when the type is introduced (section 12). Data: N = Northwind-driven, S = synthetic events, N+S = both.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2166"/>
        <w:gridCol w:w="631"/>
        <w:gridCol w:w="631"/>
        <w:gridCol w:w="3610"/>
        <w:gridCol w:w="544"/>
      </w:tblGrid>
      <w:tr>
        <w:trPr>
          <w:tblHeader/>
        </w:trPr>
        <w:tc>
          <w:tcPr>
            <w:tcW w:type="dxa" w:w="144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Family</w:t>
            </w:r>
          </w:p>
        </w:tc>
        <w:tc>
          <w:tcPr>
            <w:tcW w:type="dxa" w:w="216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Type</w:t>
            </w:r>
          </w:p>
        </w:tc>
        <w:tc>
          <w:tcPr>
            <w:tcW w:type="dxa" w:w="63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Class</w:t>
            </w:r>
          </w:p>
        </w:tc>
        <w:tc>
          <w:tcPr>
            <w:tcW w:type="dxa" w:w="63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Data</w:t>
            </w:r>
          </w:p>
        </w:tc>
        <w:tc>
          <w:tcPr>
            <w:tcW w:type="dxa" w:w="361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Key gold fields</w:t>
            </w:r>
          </w:p>
        </w:tc>
        <w:tc>
          <w:tcPr>
            <w:tcW w:type="dxa" w:w="54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Ph.</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Order-to-cash</w:t>
            </w: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Quotation / estimate</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quote_no, valid_until, lines, totals, terms</w:t>
            </w:r>
          </w:p>
        </w:tc>
        <w:tc>
          <w:tcPr>
            <w:tcW w:type="dxa" w:w="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Proforma invoice</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proforma_no, lines, totals, bank details</w:t>
            </w:r>
          </w:p>
        </w:tc>
        <w:tc>
          <w:tcPr>
            <w:tcW w:type="dxa" w:w="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Sales order confirmation</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order_no, customer_po, delivery date, lines</w:t>
            </w:r>
          </w:p>
        </w:tc>
        <w:tc>
          <w:tcPr>
            <w:tcW w:type="dxa" w:w="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Invoice (incl. tax invoice)</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invoice_no, dates, parties, tax IDs, lines, tax lines, totals, due date</w:t>
            </w:r>
          </w:p>
        </w:tc>
        <w:tc>
          <w:tcPr>
            <w:tcW w:type="dxa" w:w="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Credit note</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N+S</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credit_no, ref_invoice, reason, lines, negative totals</w:t>
            </w:r>
          </w:p>
        </w:tc>
        <w:tc>
          <w:tcPr>
            <w:tcW w:type="dxa" w:w="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Debit note</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debit_no, ref_invoice, adjustment</w:t>
            </w:r>
          </w:p>
        </w:tc>
        <w:tc>
          <w:tcPr>
            <w:tcW w:type="dxa" w:w="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Payment receipt</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C/T</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N+S</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receipt_no, amount, method, ref_invoice</w:t>
            </w:r>
          </w:p>
        </w:tc>
        <w:tc>
          <w:tcPr>
            <w:tcW w:type="dxa" w:w="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Payment reminder / dunning letter (3 levels)</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level, overdue invoices, amount due, deadline</w:t>
            </w:r>
          </w:p>
        </w:tc>
        <w:tc>
          <w:tcPr>
            <w:tcW w:type="dxa" w:w="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Customer account statement</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N+S</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period, opening/closing balance, entries, aging buckets</w:t>
            </w:r>
          </w:p>
        </w:tc>
        <w:tc>
          <w:tcPr>
            <w:tcW w:type="dxa" w:w="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Procure-to-pay</w:t>
            </w: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Request for quotation (RFQ)</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T/F</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rfq_no, items, deadline</w:t>
            </w:r>
          </w:p>
        </w:tc>
        <w:tc>
          <w:tcPr>
            <w:tcW w:type="dxa" w:w="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Purchase order</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po_no, buyer, supplier, lines, delivery terms</w:t>
            </w:r>
          </w:p>
        </w:tc>
        <w:tc>
          <w:tcPr>
            <w:tcW w:type="dxa" w:w="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Goods received note (GRN)</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N+S</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grn_no, ref_po, qty ordered/received/rejected</w:t>
            </w:r>
          </w:p>
        </w:tc>
        <w:tc>
          <w:tcPr>
            <w:tcW w:type="dxa" w:w="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Supplier invoice</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as invoice, issuer = supplier</w:t>
            </w:r>
          </w:p>
        </w:tc>
        <w:tc>
          <w:tcPr>
            <w:tcW w:type="dxa" w:w="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Remittance advice</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payment ref, invoices paid, amounts</w:t>
            </w:r>
          </w:p>
        </w:tc>
        <w:tc>
          <w:tcPr>
            <w:tcW w:type="dxa" w:w="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Price list / catalog page</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T/R</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SKU, prices, validity</w:t>
            </w:r>
          </w:p>
        </w:tc>
        <w:tc>
          <w:tcPr>
            <w:tcW w:type="dxa" w:w="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Logistics &amp; trade</w:t>
            </w: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Packing slip / packing list</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order_no, items, qty, packages, weights</w:t>
            </w:r>
          </w:p>
        </w:tc>
        <w:tc>
          <w:tcPr>
            <w:tcW w:type="dxa" w:w="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Delivery note</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T/F</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dn_no, ref_order, receiver signature</w:t>
            </w:r>
          </w:p>
        </w:tc>
        <w:tc>
          <w:tcPr>
            <w:tcW w:type="dxa" w:w="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Bill of lading</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N+S</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bl_no, shipper, consignee, notify, ports, vessel, containers</w:t>
            </w:r>
          </w:p>
        </w:tc>
        <w:tc>
          <w:tcPr>
            <w:tcW w:type="dxa" w:w="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Air / road waybill</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N+S</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waybill_no, origin, destination, pieces, weight</w:t>
            </w:r>
          </w:p>
        </w:tc>
        <w:tc>
          <w:tcPr>
            <w:tcW w:type="dxa" w:w="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Commercial invoice (export)</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incoterm, HS codes, origin, currency, weights</w:t>
            </w:r>
          </w:p>
        </w:tc>
        <w:tc>
          <w:tcPr>
            <w:tcW w:type="dxa" w:w="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Certificate of origin (fictional chamber)</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exporter, consignee, goods, origin country</w:t>
            </w:r>
          </w:p>
        </w:tc>
        <w:tc>
          <w:tcPr>
            <w:tcW w:type="dxa" w:w="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Shipping label</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tracking_no, addresses, barcode, weight</w:t>
            </w:r>
          </w:p>
        </w:tc>
        <w:tc>
          <w:tcPr>
            <w:tcW w:type="dxa" w:w="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Customs declaration (simplified, fictional)</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declarant, HS lines, values, duties</w:t>
            </w:r>
          </w:p>
        </w:tc>
        <w:tc>
          <w:tcPr>
            <w:tcW w:type="dxa" w:w="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Finance &amp; accounting</w:t>
            </w: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Expense report</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employee, period, expense lines, categories, total</w:t>
            </w:r>
          </w:p>
        </w:tc>
        <w:tc>
          <w:tcPr>
            <w:tcW w:type="dxa" w:w="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Petty cash voucher</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C/F</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voucher_no, amount, purpose, approver</w:t>
            </w:r>
          </w:p>
        </w:tc>
        <w:tc>
          <w:tcPr>
            <w:tcW w:type="dxa" w:w="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Journal voucher</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entries, debit/credit balance</w:t>
            </w:r>
          </w:p>
        </w:tc>
        <w:tc>
          <w:tcPr>
            <w:tcW w:type="dxa" w:w="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Financial summary (P&amp;L, balance sheet)</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period, line items, totals, comparatives</w:t>
            </w:r>
          </w:p>
        </w:tc>
        <w:tc>
          <w:tcPr>
            <w:tcW w:type="dxa" w:w="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Banking</w:t>
            </w: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Bank statement</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account, period, transactions, balances</w:t>
            </w:r>
          </w:p>
        </w:tc>
        <w:tc>
          <w:tcPr>
            <w:tcW w:type="dxa" w:w="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Cheque (specimen)</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payee, amount in figures and words, date</w:t>
            </w:r>
          </w:p>
        </w:tc>
        <w:tc>
          <w:tcPr>
            <w:tcW w:type="dxa" w:w="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Bank transfer confirmation</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reference, debtor, creditor, amount, date</w:t>
            </w:r>
          </w:p>
        </w:tc>
        <w:tc>
          <w:tcPr>
            <w:tcW w:type="dxa" w:w="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Loan amortization schedule</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principal, rate, installments</w:t>
            </w:r>
          </w:p>
        </w:tc>
        <w:tc>
          <w:tcPr>
            <w:tcW w:type="dxa" w:w="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HR &amp; payroll</w:t>
            </w: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Payslip</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T/F</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N+S</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employee, period, gross, deductions, net, YTD</w:t>
            </w:r>
          </w:p>
        </w:tc>
        <w:tc>
          <w:tcPr>
            <w:tcW w:type="dxa" w:w="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Offer letter</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N+S</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candidate, role, salary, start date</w:t>
            </w:r>
          </w:p>
        </w:tc>
        <w:tc>
          <w:tcPr>
            <w:tcW w:type="dxa" w:w="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Employment contract</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N+S</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parties, role, term, salary, clauses</w:t>
            </w:r>
          </w:p>
        </w:tc>
        <w:tc>
          <w:tcPr>
            <w:tcW w:type="dxa" w:w="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Work certificate (attestation de travail)</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N+S</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employee, role, dates, issuer</w:t>
            </w:r>
          </w:p>
        </w:tc>
        <w:tc>
          <w:tcPr>
            <w:tcW w:type="dxa" w:w="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Timesheet</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L/F</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employee, week, hours per day, total</w:t>
            </w:r>
          </w:p>
        </w:tc>
        <w:tc>
          <w:tcPr>
            <w:tcW w:type="dxa" w:w="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Leave request</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employee, type, dates, approver</w:t>
            </w:r>
          </w:p>
        </w:tc>
        <w:tc>
          <w:tcPr>
            <w:tcW w:type="dxa" w:w="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Legal &amp; corporate</w:t>
            </w: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Non-disclosure agreement</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parties, effective date, term, governing law</w:t>
            </w:r>
          </w:p>
        </w:tc>
        <w:tc>
          <w:tcPr>
            <w:tcW w:type="dxa" w:w="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Service agreement</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parties, scope, fees, term, clauses</w:t>
            </w:r>
          </w:p>
        </w:tc>
        <w:tc>
          <w:tcPr>
            <w:tcW w:type="dxa" w:w="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Meeting minutes</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date, attendees, agenda, decisions, actions</w:t>
            </w:r>
          </w:p>
        </w:tc>
        <w:tc>
          <w:tcPr>
            <w:tcW w:type="dxa" w:w="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Power of attorney (fictional)</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grantor, agent, scope, dates</w:t>
            </w:r>
          </w:p>
        </w:tc>
        <w:tc>
          <w:tcPr>
            <w:tcW w:type="dxa" w:w="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Utilities &amp; services</w:t>
            </w: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Utility bill (electricity, water)</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T/L</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account, period, meter readings, consumption, total</w:t>
            </w:r>
          </w:p>
        </w:tc>
        <w:tc>
          <w:tcPr>
            <w:tcW w:type="dxa" w:w="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Telecom bill</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T/L</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account, plan, usage lines, total</w:t>
            </w:r>
          </w:p>
        </w:tc>
        <w:tc>
          <w:tcPr>
            <w:tcW w:type="dxa" w:w="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Rent receipt / lease invoice</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C/T</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tenant, period, rent, charges</w:t>
            </w:r>
          </w:p>
        </w:tc>
        <w:tc>
          <w:tcPr>
            <w:tcW w:type="dxa" w:w="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Insurance certificate</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policy_no, insured, coverage, dates</w:t>
            </w:r>
          </w:p>
        </w:tc>
        <w:tc>
          <w:tcPr>
            <w:tcW w:type="dxa" w:w="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Correspondence</w:t>
            </w: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Business letter</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sender, recipient, date, subject, body</w:t>
            </w:r>
          </w:p>
        </w:tc>
        <w:tc>
          <w:tcPr>
            <w:tcW w:type="dxa" w:w="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Internal memo</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to, from, date, subject, body</w:t>
            </w:r>
          </w:p>
        </w:tc>
        <w:tc>
          <w:tcPr>
            <w:tcW w:type="dxa" w:w="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Sales report</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w:t>
            </w:r>
          </w:p>
        </w:tc>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period, KPIs, by-region table</w:t>
            </w:r>
          </w:p>
        </w:tc>
        <w:tc>
          <w:tcPr>
            <w:tcW w:type="dxa" w:w="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w:t>
            </w:r>
          </w:p>
        </w:tc>
      </w:tr>
    </w:tbl>
    <w:p>
      <w:pPr>
        <w:spacing w:after="120"/>
      </w:pPr>
    </w:p>
    <w:p>
      <w:pPr>
        <w:spacing w:after="120"/>
      </w:pPr>
      <w:r>
        <w:t xml:space="preserve">That is 48 types. The count is less important than the coverage of structure classes: once each class has a solid layout grammar, adding a type is a builder plus a label catalog entry.</w:t>
      </w:r>
    </w:p>
    <w:p>
      <w:r>
        <w:br w:type="page"/>
      </w:r>
    </w:p>
    <w:p>
      <w:pPr>
        <w:pStyle w:val="Heading1"/>
      </w:pPr>
      <w:r>
        <w:t xml:space="preserve">5. Canonical schemas</w:t>
      </w:r>
    </w:p>
    <w:p>
      <w:pPr>
        <w:spacing w:after="120"/>
      </w:pPr>
      <w:r>
        <w:t xml:space="preserve">All records share an envelope and a small set of reusable value objects. Type-specific records extend the envelope. Pydantic v2 models give validation and JSON Schema export, which becomes part of the dataset card.</w:t>
      </w:r>
    </w:p>
    <w:p>
      <w:pPr>
        <w:pStyle w:val="Heading2"/>
      </w:pPr>
      <w:r>
        <w:t xml:space="preserve">5.1 Shared value objects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3790"/>
        <w:gridCol w:w="3973"/>
      </w:tblGrid>
      <w:tr>
        <w:trPr>
          <w:tblHeader/>
        </w:trPr>
        <w:tc>
          <w:tcPr>
            <w:tcW w:type="dxa" w:w="126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Object</w:t>
            </w:r>
          </w:p>
        </w:tc>
        <w:tc>
          <w:tcPr>
            <w:tcW w:type="dxa" w:w="379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Fields</w:t>
            </w:r>
          </w:p>
        </w:tc>
        <w:tc>
          <w:tcPr>
            <w:tcW w:type="dxa" w:w="397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Rules</w:t>
            </w:r>
          </w:p>
        </w:tc>
      </w:tr>
      <w:tr>
        <w:trPr>
          <w:cantSplit/>
        </w:trPr>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Money</w:t>
            </w:r>
          </w:p>
        </w:tc>
        <w:tc>
          <w:tcPr>
            <w:tcW w:type="dxa" w:w="37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amount: Decimal, currency: ISO 4217</w:t>
            </w:r>
          </w:p>
        </w:tc>
        <w:tc>
          <w:tcPr>
            <w:tcW w:type="dxa" w:w="39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Quantized to the currency's minor unit (DZD 2, EUR 2, JPY 0, KWD 3). Rounding mode per issuer (half-up default).</w:t>
            </w:r>
          </w:p>
        </w:tc>
      </w:tr>
      <w:tr>
        <w:trPr>
          <w:cantSplit/>
        </w:trPr>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Party</w:t>
            </w:r>
          </w:p>
        </w:tc>
        <w:tc>
          <w:tcPr>
            <w:tcW w:type="dxa" w:w="37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role, legal_name, trade_name, address, tax_ids{}, registration{}, contact, bank_account</w:t>
            </w:r>
          </w:p>
        </w:tc>
        <w:tc>
          <w:tcPr>
            <w:tcW w:type="dxa" w:w="39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tax_ids keys depend on country (VAT, NIF, NIS, RC, AI, SIRET, TRN). All values fictional with valid format.</w:t>
            </w:r>
          </w:p>
        </w:tc>
      </w:tr>
      <w:tr>
        <w:trPr>
          <w:cantSplit/>
        </w:trPr>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Address</w:t>
            </w:r>
          </w:p>
        </w:tc>
        <w:tc>
          <w:tcPr>
            <w:tcW w:type="dxa" w:w="37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lines[], city, postal_code, region, country, script</w:t>
            </w:r>
          </w:p>
        </w:tc>
        <w:tc>
          <w:tcPr>
            <w:tcW w:type="dxa" w:w="39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Format templates per country; Arabic and Latin forms for bilingual docs.</w:t>
            </w:r>
          </w:p>
        </w:tc>
      </w:tr>
      <w:tr>
        <w:trPr>
          <w:cantSplit/>
        </w:trPr>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LineItem</w:t>
            </w:r>
          </w:p>
        </w:tc>
        <w:tc>
          <w:tcPr>
            <w:tcW w:type="dxa" w:w="37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sku, description, qty, unit, unit_price, discount, tax_code, line_total</w:t>
            </w:r>
          </w:p>
        </w:tc>
        <w:tc>
          <w:tcPr>
            <w:tcW w:type="dxa" w:w="39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line_total = round(qty × unit_price × (1 − discount)).</w:t>
            </w:r>
          </w:p>
        </w:tc>
      </w:tr>
      <w:tr>
        <w:trPr>
          <w:cantSplit/>
        </w:trPr>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TaxLine</w:t>
            </w:r>
          </w:p>
        </w:tc>
        <w:tc>
          <w:tcPr>
            <w:tcW w:type="dxa" w:w="37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code, rate, base, amount</w:t>
            </w:r>
          </w:p>
        </w:tc>
        <w:tc>
          <w:tcPr>
            <w:tcW w:type="dxa" w:w="39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Grouped by rate; sum of bases equals taxable subtotal.</w:t>
            </w:r>
          </w:p>
        </w:tc>
      </w:tr>
      <w:tr>
        <w:trPr>
          <w:cantSplit/>
        </w:trPr>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Reference</w:t>
            </w:r>
          </w:p>
        </w:tc>
        <w:tc>
          <w:tcPr>
            <w:tcW w:type="dxa" w:w="37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kind (po, invoice, order, contract…), number, date, doc_id</w:t>
            </w:r>
          </w:p>
        </w:tc>
        <w:tc>
          <w:tcPr>
            <w:tcW w:type="dxa" w:w="39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Links documents inside a bundle.</w:t>
            </w:r>
          </w:p>
        </w:tc>
      </w:tr>
      <w:tr>
        <w:trPr>
          <w:cantSplit/>
        </w:trPr>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Signature</w:t>
            </w:r>
          </w:p>
        </w:tc>
        <w:tc>
          <w:tcPr>
            <w:tcW w:type="dxa" w:w="37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name, title, date, kind (typed, script font, image, stamp)</w:t>
            </w:r>
          </w:p>
        </w:tc>
        <w:tc>
          <w:tcPr>
            <w:tcW w:type="dxa" w:w="39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Optional per layout.</w:t>
            </w:r>
          </w:p>
        </w:tc>
      </w:tr>
    </w:tbl>
    <w:p>
      <w:pPr>
        <w:spacing w:after="120"/>
      </w:pPr>
    </w:p>
    <w:p>
      <w:pPr>
        <w:pStyle w:val="Heading2"/>
      </w:pPr>
      <w:r>
        <w:t xml:space="preserve">5.2 Envelope</w:t>
      </w:r>
    </w:p>
    <w:p>
      <w:pPr>
        <w:shd w:fill="F3F4F6" w:color="auto" w:val="clear"/>
        <w:spacing w:after="0" w:before="60"/>
      </w:pPr>
      <w:r>
        <w:rPr>
          <w:rFonts w:ascii="Consolas" w:cs="Consolas" w:eastAsia="Consolas" w:hAnsi="Consolas"/>
          <w:sz w:val="17"/>
          <w:szCs w:val="17"/>
        </w:rPr>
        <w:t xml:space="preserve">{</w:t>
      </w:r>
    </w:p>
    <w:p>
      <w:pPr>
        <w:shd w:fill="F3F4F6" w:color="auto" w:val="clear"/>
        <w:spacing w:after="0" w:before="0"/>
      </w:pPr>
      <w:r>
        <w:rPr>
          <w:rFonts w:ascii="Consolas" w:cs="Consolas" w:eastAsia="Consolas" w:hAnsi="Consolas"/>
          <w:sz w:val="17"/>
          <w:szCs w:val="17"/>
        </w:rPr>
        <w:t xml:space="preserve">  "doc_id": "a3f9…", "doc_type": "invoice", "structure_class": "T",</w:t>
      </w:r>
    </w:p>
    <w:p>
      <w:pPr>
        <w:shd w:fill="F3F4F6" w:color="auto" w:val="clear"/>
        <w:spacing w:after="0" w:before="0"/>
      </w:pPr>
      <w:r>
        <w:rPr>
          <w:rFonts w:ascii="Consolas" w:cs="Consolas" w:eastAsia="Consolas" w:hAnsi="Consolas"/>
          <w:sz w:val="17"/>
          <w:szCs w:val="17"/>
        </w:rPr>
        <w:t xml:space="preserve">  "bundle_id": "b-0042", "event_id": "e-118733",</w:t>
      </w:r>
    </w:p>
    <w:p>
      <w:pPr>
        <w:shd w:fill="F3F4F6" w:color="auto" w:val="clear"/>
        <w:spacing w:after="0" w:before="0"/>
      </w:pPr>
      <w:r>
        <w:rPr>
          <w:rFonts w:ascii="Consolas" w:cs="Consolas" w:eastAsia="Consolas" w:hAnsi="Consolas"/>
          <w:sz w:val="17"/>
          <w:szCs w:val="17"/>
        </w:rPr>
        <w:t xml:space="preserve">  "issuer": {Party}, "counterparties": [{Party}],</w:t>
      </w:r>
    </w:p>
    <w:p>
      <w:pPr>
        <w:shd w:fill="F3F4F6" w:color="auto" w:val="clear"/>
        <w:spacing w:after="0" w:before="0"/>
      </w:pPr>
      <w:r>
        <w:rPr>
          <w:rFonts w:ascii="Consolas" w:cs="Consolas" w:eastAsia="Consolas" w:hAnsi="Consolas"/>
          <w:sz w:val="17"/>
          <w:szCs w:val="17"/>
        </w:rPr>
        <w:t xml:space="preserve">  "number": "FA-2026-00412", "issue_date": "2026-03-14",</w:t>
      </w:r>
    </w:p>
    <w:p>
      <w:pPr>
        <w:shd w:fill="F3F4F6" w:color="auto" w:val="clear"/>
        <w:spacing w:after="0" w:before="0"/>
      </w:pPr>
      <w:r>
        <w:rPr>
          <w:rFonts w:ascii="Consolas" w:cs="Consolas" w:eastAsia="Consolas" w:hAnsi="Consolas"/>
          <w:sz w:val="17"/>
          <w:szCs w:val="17"/>
        </w:rPr>
        <w:t xml:space="preserve">  "locale": "fr-DZ", "secondary_locale": "ar-DZ", "currency": "DZD",</w:t>
      </w:r>
    </w:p>
    <w:p>
      <w:pPr>
        <w:shd w:fill="F3F4F6" w:color="auto" w:val="clear"/>
        <w:spacing w:after="0" w:before="0"/>
      </w:pPr>
      <w:r>
        <w:rPr>
          <w:rFonts w:ascii="Consolas" w:cs="Consolas" w:eastAsia="Consolas" w:hAnsi="Consolas"/>
          <w:sz w:val="17"/>
          <w:szCs w:val="17"/>
        </w:rPr>
        <w:t xml:space="preserve">  "references": [{"kind": "po", "number": "BC-7781", "doc_id": "…"}],</w:t>
      </w:r>
    </w:p>
    <w:p>
      <w:pPr>
        <w:shd w:fill="F3F4F6" w:color="auto" w:val="clear"/>
        <w:spacing w:after="0" w:before="0"/>
      </w:pPr>
      <w:r>
        <w:rPr>
          <w:rFonts w:ascii="Consolas" w:cs="Consolas" w:eastAsia="Consolas" w:hAnsi="Consolas"/>
          <w:sz w:val="17"/>
          <w:szCs w:val="17"/>
        </w:rPr>
        <w:t xml:space="preserve">  "body": { …type-specific… },</w:t>
      </w:r>
    </w:p>
    <w:p>
      <w:pPr>
        <w:shd w:fill="F3F4F6" w:color="auto" w:val="clear"/>
        <w:spacing w:after="0" w:before="0"/>
      </w:pPr>
      <w:r>
        <w:rPr>
          <w:rFonts w:ascii="Consolas" w:cs="Consolas" w:eastAsia="Consolas" w:hAnsi="Consolas"/>
          <w:sz w:val="17"/>
          <w:szCs w:val="17"/>
        </w:rPr>
        <w:t xml:space="preserve">  "computed": {"subtotal": …, "tax": [...], "total": …, "amount_in_words": "…"},</w:t>
      </w:r>
    </w:p>
    <w:p>
      <w:pPr>
        <w:shd w:fill="F3F4F6" w:color="auto" w:val="clear"/>
        <w:spacing w:after="0" w:before="0"/>
      </w:pPr>
      <w:r>
        <w:rPr>
          <w:rFonts w:ascii="Consolas" w:cs="Consolas" w:eastAsia="Consolas" w:hAnsi="Consolas"/>
          <w:sz w:val="17"/>
          <w:szCs w:val="17"/>
        </w:rPr>
        <w:t xml:space="preserve">  "render": {"layout": "T.banner", "theme": "slate", "labels": 3, "seed": 918273}</w:t>
      </w:r>
    </w:p>
    <w:p>
      <w:pPr>
        <w:shd w:fill="F3F4F6" w:color="auto" w:val="clear"/>
        <w:spacing w:after="160" w:before="0"/>
      </w:pPr>
      <w:r>
        <w:rPr>
          <w:rFonts w:ascii="Consolas" w:cs="Consolas" w:eastAsia="Consolas" w:hAnsi="Consolas"/>
          <w:sz w:val="17"/>
          <w:szCs w:val="17"/>
        </w:rPr>
        <w:t xml:space="preserve">}</w:t>
      </w:r>
    </w:p>
    <w:p>
      <w:pPr>
        <w:pStyle w:val="Heading2"/>
      </w:pPr>
      <w:r>
        <w:t xml:space="preserve">5.3 value and display</w:t>
      </w:r>
    </w:p>
    <w:p>
      <w:pPr>
        <w:spacing w:after="120"/>
      </w:pPr>
      <w:r>
        <w:t xml:space="preserve">Every gold field stores two things: the typed </w:t>
      </w:r>
      <w:r>
        <w:rPr>
          <w:rFonts w:ascii="Consolas" w:cs="Consolas" w:eastAsia="Consolas" w:hAnsi="Consolas"/>
          <w:color w:val="444444"/>
          <w:sz w:val="19"/>
          <w:szCs w:val="19"/>
        </w:rPr>
        <w:t xml:space="preserve">value</w:t>
      </w:r>
      <w:r>
        <w:t xml:space="preserve"> (Decimal, date, string) and the exact </w:t>
      </w:r>
      <w:r>
        <w:rPr>
          <w:rFonts w:ascii="Consolas" w:cs="Consolas" w:eastAsia="Consolas" w:hAnsi="Consolas"/>
          <w:color w:val="444444"/>
          <w:sz w:val="19"/>
          <w:szCs w:val="19"/>
        </w:rPr>
        <w:t xml:space="preserve">display</w:t>
      </w:r>
      <w:r>
        <w:t xml:space="preserve"> string the locale stage produced ("1 234,56 DA", "١٤/٠٣/٢٠٢٦", "March 14, 2026"). Alignment to rendered words then becomes exact string matching instead of fuzzy matching, which removes most annotation errors and makes RTL alignment tractable.</w:t>
      </w:r>
    </w:p>
    <w:p>
      <w:pPr>
        <w:pStyle w:val="Heading2"/>
      </w:pPr>
      <w:r>
        <w:t xml:space="preserve">5.4 Amount in words</w:t>
      </w:r>
    </w:p>
    <w:p>
      <w:pPr>
        <w:spacing w:after="120"/>
      </w:pPr>
      <w:r>
        <w:t xml:space="preserve">Invoices in Algeria, France and much of the Arab world often state the total in words ("Arrêtée la présente facture à la somme de…"). Use num2words (en, fr, ar) and store it as a gold field. It is a good hard field for extraction models and a free consistency check.</w:t>
      </w:r>
    </w:p>
    <w:p>
      <w:pPr>
        <w:pStyle w:val="Heading1"/>
      </w:pPr>
      <w:r>
        <w:t xml:space="preserve">6. Data layer: synthetic generators and business rules</w:t>
      </w:r>
    </w:p>
    <w:p>
      <w:pPr>
        <w:pStyle w:val="Heading2"/>
      </w:pPr>
      <w:r>
        <w:t xml:space="preserve">6.1 Locale-aware entity generation</w:t>
      </w:r>
    </w:p>
    <w:p>
      <w:pPr>
        <w:pStyle w:val="ListParagraph"/>
        <w:numPr>
          <w:ilvl w:val="0"/>
          <w:numId w:val="2"/>
        </w:numPr>
        <w:spacing w:after="60"/>
      </w:pPr>
      <w:r>
        <w:t xml:space="preserve">Faker with </w:t>
      </w:r>
      <w:r>
        <w:rPr>
          <w:rFonts w:ascii="Consolas" w:cs="Consolas" w:eastAsia="Consolas" w:hAnsi="Consolas"/>
          <w:color w:val="444444"/>
          <w:sz w:val="19"/>
          <w:szCs w:val="19"/>
        </w:rPr>
        <w:t xml:space="preserve">en_US</w:t>
      </w:r>
      <w:r>
        <w:t xml:space="preserve">, </w:t>
      </w:r>
      <w:r>
        <w:rPr>
          <w:rFonts w:ascii="Consolas" w:cs="Consolas" w:eastAsia="Consolas" w:hAnsi="Consolas"/>
          <w:color w:val="444444"/>
          <w:sz w:val="19"/>
          <w:szCs w:val="19"/>
        </w:rPr>
        <w:t xml:space="preserve">en_GB</w:t>
      </w:r>
      <w:r>
        <w:t xml:space="preserve">, </w:t>
      </w:r>
      <w:r>
        <w:rPr>
          <w:rFonts w:ascii="Consolas" w:cs="Consolas" w:eastAsia="Consolas" w:hAnsi="Consolas"/>
          <w:color w:val="444444"/>
          <w:sz w:val="19"/>
          <w:szCs w:val="19"/>
        </w:rPr>
        <w:t xml:space="preserve">fr_FR</w:t>
      </w:r>
      <w:r>
        <w:t xml:space="preserve">, and Arabic providers (</w:t>
      </w:r>
      <w:r>
        <w:rPr>
          <w:rFonts w:ascii="Consolas" w:cs="Consolas" w:eastAsia="Consolas" w:hAnsi="Consolas"/>
          <w:color w:val="444444"/>
          <w:sz w:val="19"/>
          <w:szCs w:val="19"/>
        </w:rPr>
        <w:t xml:space="preserve">ar_AA</w:t>
      </w:r>
      <w:r>
        <w:t xml:space="preserve">, </w:t>
      </w:r>
      <w:r>
        <w:rPr>
          <w:rFonts w:ascii="Consolas" w:cs="Consolas" w:eastAsia="Consolas" w:hAnsi="Consolas"/>
          <w:color w:val="444444"/>
          <w:sz w:val="19"/>
          <w:szCs w:val="19"/>
        </w:rPr>
        <w:t xml:space="preserve">ar_SA</w:t>
      </w:r>
      <w:r>
        <w:t xml:space="preserve">, </w:t>
      </w:r>
      <w:r>
        <w:rPr>
          <w:rFonts w:ascii="Consolas" w:cs="Consolas" w:eastAsia="Consolas" w:hAnsi="Consolas"/>
          <w:color w:val="444444"/>
          <w:sz w:val="19"/>
          <w:szCs w:val="19"/>
        </w:rPr>
        <w:t xml:space="preserve">ar_EG</w:t>
      </w:r>
      <w:r>
        <w:t xml:space="preserve">), plus a custom Maghreb provider for Algerian, Moroccan and Tunisian names, cities, wilayas and address formats, since Faker's coverage there is thin.</w:t>
      </w:r>
    </w:p>
    <w:p>
      <w:pPr>
        <w:pStyle w:val="ListParagraph"/>
        <w:numPr>
          <w:ilvl w:val="0"/>
          <w:numId w:val="2"/>
        </w:numPr>
        <w:spacing w:after="60"/>
      </w:pPr>
      <w:r>
        <w:t xml:space="preserve">Company names from a grammar: [root] + [sector word] + [legal form], with per-locale word lists ("Sarl Atlas Distribution", "Nordwind Trading Ltd", "شركة الأطلس للتوزيع").</w:t>
      </w:r>
    </w:p>
    <w:p>
      <w:pPr>
        <w:pStyle w:val="ListParagraph"/>
        <w:numPr>
          <w:ilvl w:val="0"/>
          <w:numId w:val="2"/>
        </w:numPr>
        <w:spacing w:after="60"/>
      </w:pPr>
      <w:r>
        <w:t xml:space="preserve">Logos generated procedurally: initials or a geometric mark in SVG, from the issuer seed. No clip art, no real marks.</w:t>
      </w:r>
    </w:p>
    <w:p>
      <w:pPr>
        <w:pStyle w:val="Heading2"/>
      </w:pPr>
      <w:r>
        <w:t xml:space="preserve">6.2 Identifier formats</w:t>
      </w:r>
    </w:p>
    <w:p>
      <w:pPr>
        <w:spacing w:after="120"/>
      </w:pPr>
      <w:r>
        <w:t xml:space="preserve">Identifiers should look structurally right and pass format checks, but be fictional. Generate from documented public format rules (length, prefixes, checksum algorithm), never from real registries.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1624"/>
        <w:gridCol w:w="5056"/>
      </w:tblGrid>
      <w:tr>
        <w:trPr>
          <w:tblHeader/>
        </w:trPr>
        <w:tc>
          <w:tcPr>
            <w:tcW w:type="dxa" w:w="234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Identifier</w:t>
            </w:r>
          </w:p>
        </w:tc>
        <w:tc>
          <w:tcPr>
            <w:tcW w:type="dxa" w:w="162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Countries</w:t>
            </w:r>
          </w:p>
        </w:tc>
        <w:tc>
          <w:tcPr>
            <w:tcW w:type="dxa" w:w="505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Approach</w:t>
            </w:r>
          </w:p>
        </w:tc>
      </w:tr>
      <w:tr>
        <w:trPr>
          <w:cantSplit/>
        </w:trPr>
        <w:tc>
          <w:tcPr>
            <w:tcW w:type="dxa" w:w="2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VAT / TVA number</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FR, EU, generic</w:t>
            </w:r>
          </w:p>
        </w:tc>
        <w:tc>
          <w:tcPr>
            <w:tcW w:type="dxa" w:w="50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Country prefix + digits with checksum where the format defines one.</w:t>
            </w:r>
          </w:p>
        </w:tc>
      </w:tr>
      <w:tr>
        <w:trPr>
          <w:cantSplit/>
        </w:trPr>
        <w:tc>
          <w:tcPr>
            <w:tcW w:type="dxa" w:w="2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NIF, NIS, RC, Article d'imposition</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DZ</w:t>
            </w:r>
          </w:p>
        </w:tc>
        <w:tc>
          <w:tcPr>
            <w:tcW w:type="dxa" w:w="50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Correct lengths and patterns, random digits; RC with wilaya code prefix pattern.</w:t>
            </w:r>
          </w:p>
        </w:tc>
      </w:tr>
      <w:tr>
        <w:trPr>
          <w:cantSplit/>
        </w:trPr>
        <w:tc>
          <w:tcPr>
            <w:tcW w:type="dxa" w:w="2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SIREN / SIRET</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FR</w:t>
            </w:r>
          </w:p>
        </w:tc>
        <w:tc>
          <w:tcPr>
            <w:tcW w:type="dxa" w:w="50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Luhn-valid 9 / 14 digit numbers.</w:t>
            </w:r>
          </w:p>
        </w:tc>
      </w:tr>
      <w:tr>
        <w:trPr>
          <w:cantSplit/>
        </w:trPr>
        <w:tc>
          <w:tcPr>
            <w:tcW w:type="dxa" w:w="2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TRN</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AE, SA</w:t>
            </w:r>
          </w:p>
        </w:tc>
        <w:tc>
          <w:tcPr>
            <w:tcW w:type="dxa" w:w="50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15-digit patterns.</w:t>
            </w:r>
          </w:p>
        </w:tc>
      </w:tr>
      <w:tr>
        <w:trPr>
          <w:cantSplit/>
        </w:trPr>
        <w:tc>
          <w:tcPr>
            <w:tcW w:type="dxa" w:w="2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IBAN-like account</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All</w:t>
            </w:r>
          </w:p>
        </w:tc>
        <w:tc>
          <w:tcPr>
            <w:tcW w:type="dxa" w:w="50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Valid mod-97 checksum, fictional bank codes.</w:t>
            </w:r>
          </w:p>
        </w:tc>
      </w:tr>
      <w:tr>
        <w:trPr>
          <w:cantSplit/>
        </w:trPr>
        <w:tc>
          <w:tcPr>
            <w:tcW w:type="dxa" w:w="2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Document numbers</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All</w:t>
            </w:r>
          </w:p>
        </w:tc>
        <w:tc>
          <w:tcPr>
            <w:tcW w:type="dxa" w:w="50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Issuer-specific schemes: FA-{yyyy}-{seq:05}, INV{seq}, {yy}/{seq}, with yearly reset or not.</w:t>
            </w:r>
          </w:p>
        </w:tc>
      </w:tr>
    </w:tbl>
    <w:p>
      <w:pPr>
        <w:spacing w:after="120"/>
      </w:pPr>
    </w:p>
    <w:p>
      <w:pPr>
        <w:pStyle w:val="Heading2"/>
      </w:pPr>
      <w:r>
        <w:t xml:space="preserve">6.3 Tax regimes</w:t>
      </w:r>
    </w:p>
    <w:p>
      <w:pPr>
        <w:spacing w:after="120"/>
      </w:pPr>
      <w:r>
        <w:t xml:space="preserve">A small rules table per country, enough to produce realistic multi-rate tax summaries. Rates are configuration, not code, so they can be updated without touching builders.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3339"/>
        <w:gridCol w:w="4063"/>
      </w:tblGrid>
      <w:tr>
        <w:trPr>
          <w:tblHeader/>
        </w:trPr>
        <w:tc>
          <w:tcPr>
            <w:tcW w:type="dxa" w:w="162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Regime</w:t>
            </w:r>
          </w:p>
        </w:tc>
        <w:tc>
          <w:tcPr>
            <w:tcW w:type="dxa" w:w="333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Rates (configurable)</w:t>
            </w:r>
          </w:p>
        </w:tc>
        <w:tc>
          <w:tcPr>
            <w:tcW w:type="dxa" w:w="406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Document effects</w:t>
            </w:r>
          </w:p>
        </w:tc>
      </w:tr>
      <w:tr>
        <w:trPr>
          <w:cantSplit/>
        </w:trPr>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DZ TVA</w:t>
            </w:r>
          </w:p>
        </w:tc>
        <w:tc>
          <w:tcPr>
            <w:tcW w:type="dxa" w:w="33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standard and reduced rate, plus stamp duty on cash payments</w:t>
            </w:r>
          </w:p>
        </w:tc>
        <w:tc>
          <w:tcPr>
            <w:tcW w:type="dxa" w:w="40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HT / TVA / TTC columns, droit de timbre line, amount in words.</w:t>
            </w:r>
          </w:p>
        </w:tc>
      </w:tr>
      <w:tr>
        <w:trPr>
          <w:cantSplit/>
        </w:trPr>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FR TVA</w:t>
            </w:r>
          </w:p>
        </w:tc>
        <w:tc>
          <w:tcPr>
            <w:tcW w:type="dxa" w:w="33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standard, intermediate, reduced, super-reduced</w:t>
            </w:r>
          </w:p>
        </w:tc>
        <w:tc>
          <w:tcPr>
            <w:tcW w:type="dxa" w:w="40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HT / TVA / TTC, mandatory legal mentions in footer, late-payment penalty text.</w:t>
            </w:r>
          </w:p>
        </w:tc>
      </w:tr>
      <w:tr>
        <w:trPr>
          <w:cantSplit/>
        </w:trPr>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UAE / KSA VAT</w:t>
            </w:r>
          </w:p>
        </w:tc>
        <w:tc>
          <w:tcPr>
            <w:tcW w:type="dxa" w:w="33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single standard rate</w:t>
            </w:r>
          </w:p>
        </w:tc>
        <w:tc>
          <w:tcPr>
            <w:tcW w:type="dxa" w:w="40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"Tax Invoice" title, TRN on both parties, bilingual Arabic/English, QR code on simplified invoices.</w:t>
            </w:r>
          </w:p>
        </w:tc>
      </w:tr>
      <w:tr>
        <w:trPr>
          <w:cantSplit/>
        </w:trPr>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US sales tax</w:t>
            </w:r>
          </w:p>
        </w:tc>
        <w:tc>
          <w:tcPr>
            <w:tcW w:type="dxa" w:w="33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state-level rate on taxable lines</w:t>
            </w:r>
          </w:p>
        </w:tc>
        <w:tc>
          <w:tcPr>
            <w:tcW w:type="dxa" w:w="40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Tax as single line, often no tax ID.</w:t>
            </w:r>
          </w:p>
        </w:tc>
      </w:tr>
      <w:tr>
        <w:trPr>
          <w:cantSplit/>
        </w:trPr>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Exempt / export</w:t>
            </w:r>
          </w:p>
        </w:tc>
        <w:tc>
          <w:tcPr>
            <w:tcW w:type="dxa" w:w="33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 with exemption reason</w:t>
            </w:r>
          </w:p>
        </w:tc>
        <w:tc>
          <w:tcPr>
            <w:tcW w:type="dxa" w:w="40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Exemption mention, incoterm, no tax lines.</w:t>
            </w:r>
          </w:p>
        </w:tc>
      </w:tr>
    </w:tbl>
    <w:p>
      <w:pPr>
        <w:spacing w:after="120"/>
      </w:pPr>
    </w:p>
    <w:p>
      <w:pPr>
        <w:spacing w:after="120"/>
      </w:pPr>
      <w:r>
        <w:t xml:space="preserve">Check the current rates when filling the config; the table above deliberately avoids hard-coding numbers that change.</w:t>
      </w:r>
    </w:p>
    <w:p>
      <w:pPr>
        <w:pStyle w:val="Heading2"/>
      </w:pPr>
      <w:r>
        <w:t xml:space="preserve">6.4 Payroll (simplified and fictional)</w:t>
      </w:r>
    </w:p>
    <w:p>
      <w:pPr>
        <w:spacing w:after="120"/>
      </w:pPr>
      <w:r>
        <w:t xml:space="preserve">Payslips need gross-to-net logic that looks right: base salary, allowances, overtime, social security employee share, income tax by bracket, net pay, employer contributions, year-to-date. Use a per-country rules file with plausible brackets, labeled as synthetic in the dataset card. Consistency (gross − deductions = net, YTD = sum of months) matters more than legal accuracy.</w:t>
      </w:r>
    </w:p>
    <w:p>
      <w:pPr>
        <w:pStyle w:val="Heading2"/>
      </w:pPr>
      <w:r>
        <w:t xml:space="preserve">6.5 Narrative content</w:t>
      </w:r>
    </w:p>
    <w:p>
      <w:pPr>
        <w:spacing w:after="120"/>
      </w:pPr>
      <w:r>
        <w:t xml:space="preserve">Narrative types (contracts, NDAs, letters, minutes) need text, not just fields. Approach in three tiers:</w:t>
      </w:r>
    </w:p>
    <w:p>
      <w:pPr>
        <w:pStyle w:val="ListParagraph"/>
        <w:numPr>
          <w:ilvl w:val="0"/>
          <w:numId w:val="3"/>
        </w:numPr>
        <w:spacing w:after="60"/>
      </w:pPr>
      <w:r>
        <w:rPr>
          <w:b/>
          <w:bCs/>
        </w:rPr>
        <w:t xml:space="preserve">Clause library:</w:t>
      </w:r>
      <w:r>
        <w:t xml:space="preserve"> a curated YAML bank of clauses per type and locale with slots (</w:t>
      </w:r>
      <w:r>
        <w:rPr>
          <w:rFonts w:ascii="Consolas" w:cs="Consolas" w:eastAsia="Consolas" w:hAnsi="Consolas"/>
          <w:color w:val="444444"/>
          <w:sz w:val="19"/>
          <w:szCs w:val="19"/>
        </w:rPr>
        <w:t xml:space="preserve">{party_a}</w:t>
      </w:r>
      <w:r>
        <w:t xml:space="preserve">, </w:t>
      </w:r>
      <w:r>
        <w:rPr>
          <w:rFonts w:ascii="Consolas" w:cs="Consolas" w:eastAsia="Consolas" w:hAnsi="Consolas"/>
          <w:color w:val="444444"/>
          <w:sz w:val="19"/>
          <w:szCs w:val="19"/>
        </w:rPr>
        <w:t xml:space="preserve">{effective_date}</w:t>
      </w:r>
      <w:r>
        <w:t xml:space="preserve">, </w:t>
      </w:r>
      <w:r>
        <w:rPr>
          <w:rFonts w:ascii="Consolas" w:cs="Consolas" w:eastAsia="Consolas" w:hAnsi="Consolas"/>
          <w:color w:val="444444"/>
          <w:sz w:val="19"/>
          <w:szCs w:val="19"/>
        </w:rPr>
        <w:t xml:space="preserve">{term_months}</w:t>
      </w:r>
      <w:r>
        <w:t xml:space="preserve">). Each clause has variants and an optional flag.</w:t>
      </w:r>
    </w:p>
    <w:p>
      <w:pPr>
        <w:pStyle w:val="ListParagraph"/>
        <w:numPr>
          <w:ilvl w:val="0"/>
          <w:numId w:val="3"/>
        </w:numPr>
        <w:spacing w:after="60"/>
      </w:pPr>
      <w:r>
        <w:rPr>
          <w:b/>
          <w:bCs/>
        </w:rPr>
        <w:t xml:space="preserve">Grammar assembly:</w:t>
      </w:r>
      <w:r>
        <w:t xml:space="preserve"> a document plan picks clauses, orders them, numbers them (1., 1.1, Article 1, المادة 1) and fills slots from the record. Slot spans are the gold labels.</w:t>
      </w:r>
    </w:p>
    <w:p>
      <w:pPr>
        <w:pStyle w:val="ListParagraph"/>
        <w:numPr>
          <w:ilvl w:val="0"/>
          <w:numId w:val="3"/>
        </w:numPr>
        <w:spacing w:after="60"/>
      </w:pPr>
      <w:r>
        <w:rPr>
          <w:b/>
          <w:bCs/>
        </w:rPr>
        <w:t xml:space="preserve">Optional LLM paraphrase (offline, cached):</w:t>
      </w:r>
      <w:r>
        <w:t xml:space="preserve"> rewrite non-slot sentences for variety with slots locked as placeholders, then verify every slot survived. Results are cached by (clause_id, variant, seed) so runs stay reproducible and laptop-friendly.</w:t>
      </w:r>
    </w:p>
    <w:p>
      <w:r>
        <w:br w:type="page"/>
      </w:r>
    </w:p>
    <w:p>
      <w:pPr>
        <w:pStyle w:val="Heading1"/>
      </w:pPr>
      <w:r>
        <w:t xml:space="preserve">7. Layout system</w:t>
      </w:r>
    </w:p>
    <w:p>
      <w:pPr>
        <w:pStyle w:val="Heading2"/>
      </w:pPr>
      <w:r>
        <w:t xml:space="preserve">7.1 Component library</w:t>
      </w:r>
    </w:p>
    <w:p>
      <w:pPr>
        <w:spacing w:after="120"/>
      </w:pPr>
      <w:r>
        <w:t xml:space="preserve">v1 had six components. v2 needs about twenty-five, each a Jinja2 macro with a strict input contract and its own variants.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7582"/>
      </w:tblGrid>
      <w:tr>
        <w:trPr>
          <w:tblHeader/>
        </w:trPr>
        <w:tc>
          <w:tcPr>
            <w:tcW w:type="dxa" w:w="144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Group</w:t>
            </w:r>
          </w:p>
        </w:tc>
        <w:tc>
          <w:tcPr>
            <w:tcW w:type="dxa" w:w="758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Components</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Identity</w:t>
            </w:r>
          </w:p>
        </w:tc>
        <w:tc>
          <w:tcPr>
            <w:tcW w:type="dxa" w:w="75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header (logo-left, logo-right, centered, banner, sidebar), letterhead, mini_header, page_header, page_footer (page x of y, legal mentions)</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Parties</w:t>
            </w:r>
          </w:p>
        </w:tc>
        <w:tc>
          <w:tcPr>
            <w:tcW w:type="dxa" w:w="75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party_block (boxed, plain, labeled, window-envelope position), account_block, address_window</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Metadata</w:t>
            </w:r>
          </w:p>
        </w:tc>
        <w:tc>
          <w:tcPr>
            <w:tcW w:type="dxa" w:w="75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meta_grid (2 to 4 columns), meta_list, meta_box, period_bar, reference_strip</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Tables</w:t>
            </w:r>
          </w:p>
        </w:tc>
        <w:tc>
          <w:tcPr>
            <w:tcW w:type="dxa" w:w="75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line_table (with optional columns: discount, tax code, SKU, unit, HS code), ledger_table (running balance), aging_table, form_grid, hours_grid</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Money</w:t>
            </w:r>
          </w:p>
        </w:tc>
        <w:tc>
          <w:tcPr>
            <w:tcW w:type="dxa" w:w="75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totals (stacked, boxed, right rail), tax_summary, amount_in_words, payment_block (bank, IBAN, QR), balance_summary</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Text</w:t>
            </w:r>
          </w:p>
        </w:tc>
        <w:tc>
          <w:tcPr>
            <w:tcW w:type="dxa" w:w="75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subject_line, clause_list, paragraph_block, notes, terms, annex</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Marks</w:t>
            </w:r>
          </w:p>
        </w:tc>
        <w:tc>
          <w:tcPr>
            <w:tcW w:type="dxa" w:w="75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signature_block, stamp (round, rectangular, rotated), watermark (PAID, COPY, DRAFT, SPECIMEN, DUPLICATA, نسخة), barcode, qr</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Report</w:t>
            </w:r>
          </w:p>
        </w:tc>
        <w:tc>
          <w:tcPr>
            <w:tcW w:type="dxa" w:w="75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kpi_row, chart (SVG generated from data), section</w:t>
            </w:r>
          </w:p>
        </w:tc>
      </w:tr>
    </w:tbl>
    <w:p>
      <w:pPr>
        <w:spacing w:after="120"/>
      </w:pPr>
    </w:p>
    <w:p>
      <w:pPr>
        <w:pStyle w:val="Heading2"/>
      </w:pPr>
      <w:r>
        <w:t xml:space="preserve">7.2 Layout grammar instead of fixed layouts</w:t>
      </w:r>
    </w:p>
    <w:p>
      <w:pPr>
        <w:spacing w:after="120"/>
      </w:pPr>
      <w:r>
        <w:t xml:space="preserve">A layout family is a small grammar: ordered slots, each with candidate components and probabilities. Sampling the grammar with the document seed gives the concrete layout. Example for class T:</w:t>
      </w:r>
    </w:p>
    <w:p>
      <w:pPr>
        <w:shd w:fill="F3F4F6" w:color="auto" w:val="clear"/>
        <w:spacing w:after="0" w:before="60"/>
      </w:pPr>
      <w:r>
        <w:rPr>
          <w:rFonts w:ascii="Consolas" w:cs="Consolas" w:eastAsia="Consolas" w:hAnsi="Consolas"/>
          <w:sz w:val="17"/>
          <w:szCs w:val="17"/>
        </w:rPr>
        <w:t xml:space="preserve">T.classic:</w:t>
      </w:r>
    </w:p>
    <w:p>
      <w:pPr>
        <w:shd w:fill="F3F4F6" w:color="auto" w:val="clear"/>
        <w:spacing w:after="0" w:before="0"/>
      </w:pPr>
      <w:r>
        <w:rPr>
          <w:rFonts w:ascii="Consolas" w:cs="Consolas" w:eastAsia="Consolas" w:hAnsi="Consolas"/>
          <w:sz w:val="17"/>
          <w:szCs w:val="17"/>
        </w:rPr>
        <w:t xml:space="preserve">  - header:        {logo-left: .5, logo-right: .3, centered: .2}</w:t>
      </w:r>
    </w:p>
    <w:p>
      <w:pPr>
        <w:shd w:fill="F3F4F6" w:color="auto" w:val="clear"/>
        <w:spacing w:after="0" w:before="0"/>
      </w:pPr>
      <w:r>
        <w:rPr>
          <w:rFonts w:ascii="Consolas" w:cs="Consolas" w:eastAsia="Consolas" w:hAnsi="Consolas"/>
          <w:sz w:val="17"/>
          <w:szCs w:val="17"/>
        </w:rPr>
        <w:t xml:space="preserve">  - title:         {above_meta: .6, in_header: .4}</w:t>
      </w:r>
    </w:p>
    <w:p>
      <w:pPr>
        <w:shd w:fill="F3F4F6" w:color="auto" w:val="clear"/>
        <w:spacing w:after="0" w:before="0"/>
      </w:pPr>
      <w:r>
        <w:rPr>
          <w:rFonts w:ascii="Consolas" w:cs="Consolas" w:eastAsia="Consolas" w:hAnsi="Consolas"/>
          <w:sz w:val="17"/>
          <w:szCs w:val="17"/>
        </w:rPr>
        <w:t xml:space="preserve">  - parties:       {side_by_side: .7, stacked: .3}</w:t>
      </w:r>
    </w:p>
    <w:p>
      <w:pPr>
        <w:shd w:fill="F3F4F6" w:color="auto" w:val="clear"/>
        <w:spacing w:after="0" w:before="0"/>
      </w:pPr>
      <w:r>
        <w:rPr>
          <w:rFonts w:ascii="Consolas" w:cs="Consolas" w:eastAsia="Consolas" w:hAnsi="Consolas"/>
          <w:sz w:val="17"/>
          <w:szCs w:val="17"/>
        </w:rPr>
        <w:t xml:space="preserve">  - meta:          {meta_grid: .6, meta_box: .4}</w:t>
      </w:r>
    </w:p>
    <w:p>
      <w:pPr>
        <w:shd w:fill="F3F4F6" w:color="auto" w:val="clear"/>
        <w:spacing w:after="0" w:before="0"/>
      </w:pPr>
      <w:r>
        <w:rPr>
          <w:rFonts w:ascii="Consolas" w:cs="Consolas" w:eastAsia="Consolas" w:hAnsi="Consolas"/>
          <w:sz w:val="17"/>
          <w:szCs w:val="17"/>
        </w:rPr>
        <w:t xml:space="preserve">  - line_table:    {style: [zebra, ruled, boxed, minimal]}</w:t>
      </w:r>
    </w:p>
    <w:p>
      <w:pPr>
        <w:shd w:fill="F3F4F6" w:color="auto" w:val="clear"/>
        <w:spacing w:after="0" w:before="0"/>
      </w:pPr>
      <w:r>
        <w:rPr>
          <w:rFonts w:ascii="Consolas" w:cs="Consolas" w:eastAsia="Consolas" w:hAnsi="Consolas"/>
          <w:sz w:val="17"/>
          <w:szCs w:val="17"/>
        </w:rPr>
        <w:t xml:space="preserve">  - totals:        {right_stack: .7, boxed: .3}</w:t>
      </w:r>
    </w:p>
    <w:p>
      <w:pPr>
        <w:shd w:fill="F3F4F6" w:color="auto" w:val="clear"/>
        <w:spacing w:after="0" w:before="0"/>
      </w:pPr>
      <w:r>
        <w:rPr>
          <w:rFonts w:ascii="Consolas" w:cs="Consolas" w:eastAsia="Consolas" w:hAnsi="Consolas"/>
          <w:sz w:val="17"/>
          <w:szCs w:val="17"/>
        </w:rPr>
        <w:t xml:space="preserve">  - tax_summary:   {p: .5}</w:t>
      </w:r>
    </w:p>
    <w:p>
      <w:pPr>
        <w:shd w:fill="F3F4F6" w:color="auto" w:val="clear"/>
        <w:spacing w:after="0" w:before="0"/>
      </w:pPr>
      <w:r>
        <w:rPr>
          <w:rFonts w:ascii="Consolas" w:cs="Consolas" w:eastAsia="Consolas" w:hAnsi="Consolas"/>
          <w:sz w:val="17"/>
          <w:szCs w:val="17"/>
        </w:rPr>
        <w:t xml:space="preserve">  - amount_words:  {p: locale_rule}</w:t>
      </w:r>
    </w:p>
    <w:p>
      <w:pPr>
        <w:shd w:fill="F3F4F6" w:color="auto" w:val="clear"/>
        <w:spacing w:after="0" w:before="0"/>
      </w:pPr>
      <w:r>
        <w:rPr>
          <w:rFonts w:ascii="Consolas" w:cs="Consolas" w:eastAsia="Consolas" w:hAnsi="Consolas"/>
          <w:sz w:val="17"/>
          <w:szCs w:val="17"/>
        </w:rPr>
        <w:t xml:space="preserve">  - payment_block: {p: .7}</w:t>
      </w:r>
    </w:p>
    <w:p>
      <w:pPr>
        <w:shd w:fill="F3F4F6" w:color="auto" w:val="clear"/>
        <w:spacing w:after="0" w:before="0"/>
      </w:pPr>
      <w:r>
        <w:rPr>
          <w:rFonts w:ascii="Consolas" w:cs="Consolas" w:eastAsia="Consolas" w:hAnsi="Consolas"/>
          <w:sz w:val="17"/>
          <w:szCs w:val="17"/>
        </w:rPr>
        <w:t xml:space="preserve">  - notes/terms:   {p: .4}</w:t>
      </w:r>
    </w:p>
    <w:p>
      <w:pPr>
        <w:shd w:fill="F3F4F6" w:color="auto" w:val="clear"/>
        <w:spacing w:after="0" w:before="0"/>
      </w:pPr>
      <w:r>
        <w:rPr>
          <w:rFonts w:ascii="Consolas" w:cs="Consolas" w:eastAsia="Consolas" w:hAnsi="Consolas"/>
          <w:sz w:val="17"/>
          <w:szCs w:val="17"/>
        </w:rPr>
        <w:t xml:space="preserve">  - signature/stamp:{p: .3}</w:t>
      </w:r>
    </w:p>
    <w:p>
      <w:pPr>
        <w:shd w:fill="F3F4F6" w:color="auto" w:val="clear"/>
        <w:spacing w:after="160" w:before="0"/>
      </w:pPr>
      <w:r>
        <w:rPr>
          <w:rFonts w:ascii="Consolas" w:cs="Consolas" w:eastAsia="Consolas" w:hAnsi="Consolas"/>
          <w:sz w:val="17"/>
          <w:szCs w:val="17"/>
        </w:rPr>
        <w:t xml:space="preserve">  - footer:        {legal_mentions: locale_rule}</w:t>
      </w:r>
    </w:p>
    <w:p>
      <w:pPr>
        <w:spacing w:after="120"/>
      </w:pPr>
      <w:r>
        <w:t xml:space="preserve">Target 5 to 7 families per class: classic, banner, sidebar, two-column, boxed-grid, minimal, and a dense "accounting software" look. The dense look matters because a large share of real documents come from ERP and accounting tools, not designers.</w:t>
      </w:r>
    </w:p>
    <w:p>
      <w:pPr>
        <w:pStyle w:val="Heading2"/>
      </w:pPr>
      <w:r>
        <w:t xml:space="preserve">7.3 Anti-memorization</w:t>
      </w:r>
    </w:p>
    <w:p>
      <w:pPr>
        <w:pStyle w:val="ListParagraph"/>
        <w:numPr>
          <w:ilvl w:val="0"/>
          <w:numId w:val="2"/>
        </w:numPr>
        <w:spacing w:after="60"/>
      </w:pPr>
      <w:r>
        <w:t xml:space="preserve">Hold out whole layout families and themes for the test split, so evaluation measures generalization, not template recall.</w:t>
      </w:r>
    </w:p>
    <w:p>
      <w:pPr>
        <w:pStyle w:val="ListParagraph"/>
        <w:numPr>
          <w:ilvl w:val="0"/>
          <w:numId w:val="2"/>
        </w:numPr>
        <w:spacing w:after="60"/>
      </w:pPr>
      <w:r>
        <w:t xml:space="preserve">Randomize micro-geometry within a family: margins, column widths, gutter, font size steps, line-height. Small jitter defeats pixel-position shortcuts.</w:t>
      </w:r>
    </w:p>
    <w:p>
      <w:pPr>
        <w:pStyle w:val="ListParagraph"/>
        <w:numPr>
          <w:ilvl w:val="0"/>
          <w:numId w:val="2"/>
        </w:numPr>
        <w:spacing w:after="60"/>
      </w:pPr>
      <w:r>
        <w:t xml:space="preserve">Vary the label text, not only positions (section 8.2).</w:t>
      </w:r>
    </w:p>
    <w:p>
      <w:pPr>
        <w:pStyle w:val="Heading1"/>
      </w:pPr>
      <w:r>
        <w:t xml:space="preserve">8. Locales: English, French, Arabic, and bilingual</w:t>
      </w:r>
    </w:p>
    <w:p>
      <w:pPr>
        <w:pStyle w:val="Heading2"/>
      </w:pPr>
      <w:r>
        <w:t xml:space="preserve">8.1 Locale variants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992"/>
        <w:gridCol w:w="3068"/>
        <w:gridCol w:w="3432"/>
      </w:tblGrid>
      <w:tr>
        <w:trPr>
          <w:tblHeader/>
        </w:trPr>
        <w:tc>
          <w:tcPr>
            <w:tcW w:type="dxa" w:w="153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Variant</w:t>
            </w:r>
          </w:p>
        </w:tc>
        <w:tc>
          <w:tcPr>
            <w:tcW w:type="dxa" w:w="99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Direction</w:t>
            </w:r>
          </w:p>
        </w:tc>
        <w:tc>
          <w:tcPr>
            <w:tcW w:type="dxa" w:w="306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Numbers and dates</w:t>
            </w:r>
          </w:p>
        </w:tc>
        <w:tc>
          <w:tcPr>
            <w:tcW w:type="dxa" w:w="343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Notes</w:t>
            </w:r>
          </w:p>
        </w:tc>
      </w:tr>
      <w:tr>
        <w:trPr>
          <w:cantSplit/>
        </w:trPr>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en (US, GB)</w:t>
            </w:r>
          </w:p>
        </w:tc>
        <w:tc>
          <w:tcPr>
            <w:tcW w:type="dxa" w:w="9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LTR</w:t>
            </w:r>
          </w:p>
        </w:tc>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1,234.56 · 03/14/2026 or 14/03/2026</w:t>
            </w:r>
          </w:p>
        </w:tc>
        <w:tc>
          <w:tcPr>
            <w:tcW w:type="dxa" w:w="34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Currency before amount.</w:t>
            </w:r>
          </w:p>
        </w:tc>
      </w:tr>
      <w:tr>
        <w:trPr>
          <w:cantSplit/>
        </w:trPr>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fr (FR, DZ, MA)</w:t>
            </w:r>
          </w:p>
        </w:tc>
        <w:tc>
          <w:tcPr>
            <w:tcW w:type="dxa" w:w="9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LTR</w:t>
            </w:r>
          </w:p>
        </w:tc>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1 234,56 · 14/03/2026</w:t>
            </w:r>
          </w:p>
        </w:tc>
        <w:tc>
          <w:tcPr>
            <w:tcW w:type="dxa" w:w="34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Narrow no-break space as thousands separator; "DA", "€" after amount.</w:t>
            </w:r>
          </w:p>
        </w:tc>
      </w:tr>
      <w:tr>
        <w:trPr>
          <w:cantSplit/>
        </w:trPr>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ar (DZ, MA, TN)</w:t>
            </w:r>
          </w:p>
        </w:tc>
        <w:tc>
          <w:tcPr>
            <w:tcW w:type="dxa" w:w="9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RTL</w:t>
            </w:r>
          </w:p>
        </w:tc>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Western digits usually: 1 234,56 or 1.234,56</w:t>
            </w:r>
          </w:p>
        </w:tc>
        <w:tc>
          <w:tcPr>
            <w:tcW w:type="dxa" w:w="34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Maghreb documents mostly use Latin digits even in Arabic text.</w:t>
            </w:r>
          </w:p>
        </w:tc>
      </w:tr>
      <w:tr>
        <w:trPr>
          <w:cantSplit/>
        </w:trPr>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ar (SA, AE, EG)</w:t>
            </w:r>
          </w:p>
        </w:tc>
        <w:tc>
          <w:tcPr>
            <w:tcW w:type="dxa" w:w="9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RTL</w:t>
            </w:r>
          </w:p>
        </w:tc>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Arabic-Indic digits often: ١٬٢٣٤٫٥٦</w:t>
            </w:r>
          </w:p>
        </w:tc>
        <w:tc>
          <w:tcPr>
            <w:tcW w:type="dxa" w:w="34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Make digit system a per-document choice, not a locale constant.</w:t>
            </w:r>
          </w:p>
        </w:tc>
      </w:tr>
      <w:tr>
        <w:trPr>
          <w:cantSplit/>
        </w:trPr>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fr-ar bilingual</w:t>
            </w:r>
          </w:p>
        </w:tc>
        <w:tc>
          <w:tcPr>
            <w:tcW w:type="dxa" w:w="9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Mixed</w:t>
            </w:r>
          </w:p>
        </w:tc>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Labels in both scripts</w:t>
            </w:r>
          </w:p>
        </w:tc>
        <w:tc>
          <w:tcPr>
            <w:tcW w:type="dxa" w:w="34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Very common in Algeria: "Facture / فاتورة", two-column labels.</w:t>
            </w:r>
          </w:p>
        </w:tc>
      </w:tr>
      <w:tr>
        <w:trPr>
          <w:cantSplit/>
        </w:trPr>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en-ar bilingual</w:t>
            </w:r>
          </w:p>
        </w:tc>
        <w:tc>
          <w:tcPr>
            <w:tcW w:type="dxa" w:w="9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Mixed</w:t>
            </w:r>
          </w:p>
        </w:tc>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Labels in both scripts</w:t>
            </w:r>
          </w:p>
        </w:tc>
        <w:tc>
          <w:tcPr>
            <w:tcW w:type="dxa" w:w="34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Standard for Gulf tax invoices.</w:t>
            </w:r>
          </w:p>
        </w:tc>
      </w:tr>
    </w:tbl>
    <w:p>
      <w:pPr>
        <w:spacing w:after="120"/>
      </w:pPr>
    </w:p>
    <w:p>
      <w:pPr>
        <w:spacing w:after="120"/>
      </w:pPr>
      <w:r>
        <w:t xml:space="preserve">Formatting through Babel (numbers, currencies, dates) with overrides per country where Babel's CLDR defaults differ from what local documents actually print.</w:t>
      </w:r>
    </w:p>
    <w:p>
      <w:pPr>
        <w:pStyle w:val="Heading2"/>
      </w:pPr>
      <w:r>
        <w:t xml:space="preserve">8.2 Label catalogs with synonyms</w:t>
      </w:r>
    </w:p>
    <w:p>
      <w:pPr>
        <w:spacing w:after="120"/>
      </w:pPr>
      <w:r>
        <w:t xml:space="preserve">A model that only ever sees "Invoice No." learns a string, not a concept. Each field has a list of label synonyms per locale, sampled per document and recorded in the render metadata.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2707"/>
        <w:gridCol w:w="2527"/>
        <w:gridCol w:w="2348"/>
      </w:tblGrid>
      <w:tr>
        <w:trPr>
          <w:tblHeader/>
        </w:trPr>
        <w:tc>
          <w:tcPr>
            <w:tcW w:type="dxa" w:w="144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Field</w:t>
            </w:r>
          </w:p>
        </w:tc>
        <w:tc>
          <w:tcPr>
            <w:tcW w:type="dxa" w:w="270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en</w:t>
            </w:r>
          </w:p>
        </w:tc>
        <w:tc>
          <w:tcPr>
            <w:tcW w:type="dxa" w:w="252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fr</w:t>
            </w:r>
          </w:p>
        </w:tc>
        <w:tc>
          <w:tcPr>
            <w:tcW w:type="dxa" w:w="234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ar</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invoice_number</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Invoice No. · Invoice # · Inv. Number · Bill No.</w:t>
            </w:r>
          </w:p>
        </w:tc>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 de facture · Facture n° · Réf. facture</w:t>
            </w:r>
          </w:p>
        </w:tc>
        <w:tc>
          <w:tcPr>
            <w:tcW w:type="dxa" w:w="23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رقم الفاتورة · فاتورة رقم</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issue_date</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Date · Invoice Date · Issued</w:t>
            </w:r>
          </w:p>
        </w:tc>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Date · Date de facturation · Le</w:t>
            </w:r>
          </w:p>
        </w:tc>
        <w:tc>
          <w:tcPr>
            <w:tcW w:type="dxa" w:w="23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التاريخ · تاريخ الإصدار</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total</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Total · Amount Due · Grand Total · Balance Due</w:t>
            </w:r>
          </w:p>
        </w:tc>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Total TTC · Net à payer · Montant total</w:t>
            </w:r>
          </w:p>
        </w:tc>
        <w:tc>
          <w:tcPr>
            <w:tcW w:type="dxa" w:w="23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المجموع · الإجمالي · المبلغ المستحق</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subtotal</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Subtotal · Net Amount</w:t>
            </w:r>
          </w:p>
        </w:tc>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Total HT · Montant HT</w:t>
            </w:r>
          </w:p>
        </w:tc>
        <w:tc>
          <w:tcPr>
            <w:tcW w:type="dxa" w:w="23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المجموع قبل الضريبة · المبلغ الصافي</w:t>
            </w:r>
          </w:p>
        </w:tc>
      </w:tr>
    </w:tbl>
    <w:p>
      <w:pPr>
        <w:spacing w:after="120"/>
      </w:pPr>
    </w:p>
    <w:p>
      <w:pPr>
        <w:pStyle w:val="Heading2"/>
      </w:pPr>
      <w:r>
        <w:t xml:space="preserve">8.3 RTL and bidi rules</w:t>
      </w:r>
    </w:p>
    <w:p>
      <w:pPr>
        <w:pStyle w:val="ListParagraph"/>
        <w:numPr>
          <w:ilvl w:val="0"/>
          <w:numId w:val="2"/>
        </w:numPr>
        <w:spacing w:after="60"/>
      </w:pPr>
      <w:r>
        <w:t xml:space="preserve">Set </w:t>
      </w:r>
      <w:r>
        <w:rPr>
          <w:rFonts w:ascii="Consolas" w:cs="Consolas" w:eastAsia="Consolas" w:hAnsi="Consolas"/>
          <w:color w:val="444444"/>
          <w:sz w:val="19"/>
          <w:szCs w:val="19"/>
        </w:rPr>
        <w:t xml:space="preserve">dir="rtl"</w:t>
      </w:r>
      <w:r>
        <w:t xml:space="preserve"> and </w:t>
      </w:r>
      <w:r>
        <w:rPr>
          <w:rFonts w:ascii="Consolas" w:cs="Consolas" w:eastAsia="Consolas" w:hAnsi="Consolas"/>
          <w:color w:val="444444"/>
          <w:sz w:val="19"/>
          <w:szCs w:val="19"/>
        </w:rPr>
        <w:t xml:space="preserve">lang</w:t>
      </w:r>
      <w:r>
        <w:t xml:space="preserve"> at the document root; mirror layouts with CSS logical properties (</w:t>
      </w:r>
      <w:r>
        <w:rPr>
          <w:rFonts w:ascii="Consolas" w:cs="Consolas" w:eastAsia="Consolas" w:hAnsi="Consolas"/>
          <w:color w:val="444444"/>
          <w:sz w:val="19"/>
          <w:szCs w:val="19"/>
        </w:rPr>
        <w:t xml:space="preserve">margin-inline-start</w:t>
      </w:r>
      <w:r>
        <w:t xml:space="preserve">, </w:t>
      </w:r>
      <w:r>
        <w:rPr>
          <w:rFonts w:ascii="Consolas" w:cs="Consolas" w:eastAsia="Consolas" w:hAnsi="Consolas"/>
          <w:color w:val="444444"/>
          <w:sz w:val="19"/>
          <w:szCs w:val="19"/>
        </w:rPr>
        <w:t xml:space="preserve">text-align: start</w:t>
      </w:r>
      <w:r>
        <w:t xml:space="preserve">) so every layout works both ways without a second template.</w:t>
      </w:r>
    </w:p>
    <w:p>
      <w:pPr>
        <w:pStyle w:val="ListParagraph"/>
        <w:numPr>
          <w:ilvl w:val="0"/>
          <w:numId w:val="2"/>
        </w:numPr>
        <w:spacing w:after="60"/>
      </w:pPr>
      <w:r>
        <w:t xml:space="preserve">Wrap Latin runs (SKUs, emails, IBANs, product names) and numbers in </w:t>
      </w:r>
      <w:r>
        <w:rPr>
          <w:rFonts w:ascii="Consolas" w:cs="Consolas" w:eastAsia="Consolas" w:hAnsi="Consolas"/>
          <w:color w:val="444444"/>
          <w:sz w:val="19"/>
          <w:szCs w:val="19"/>
        </w:rPr>
        <w:t xml:space="preserve">&lt;bdi&gt;</w:t>
      </w:r>
      <w:r>
        <w:t xml:space="preserve"> or </w:t>
      </w:r>
      <w:r>
        <w:rPr>
          <w:rFonts w:ascii="Consolas" w:cs="Consolas" w:eastAsia="Consolas" w:hAnsi="Consolas"/>
          <w:color w:val="444444"/>
          <w:sz w:val="19"/>
          <w:szCs w:val="19"/>
        </w:rPr>
        <w:t xml:space="preserve">unicode-bidi: isolate</w:t>
      </w:r>
      <w:r>
        <w:t xml:space="preserve"> to stop reordering bugs.</w:t>
      </w:r>
    </w:p>
    <w:p>
      <w:pPr>
        <w:pStyle w:val="ListParagraph"/>
        <w:numPr>
          <w:ilvl w:val="0"/>
          <w:numId w:val="2"/>
        </w:numPr>
        <w:spacing w:after="60"/>
      </w:pPr>
      <w:r>
        <w:t xml:space="preserve">Tables mirror column order in RTL; numeric columns stay right-aligned in LTR and left-aligned in RTL only if the source style does so (make it a theme option).</w:t>
      </w:r>
    </w:p>
    <w:p>
      <w:pPr>
        <w:pStyle w:val="ListParagraph"/>
        <w:numPr>
          <w:ilvl w:val="0"/>
          <w:numId w:val="2"/>
        </w:numPr>
        <w:spacing w:after="60"/>
      </w:pPr>
      <w:r>
        <w:t xml:space="preserve">Fonts: Noto Naskh Arabic, Amiri, Cairo, IBM Plex Sans Arabic, Noto Kufi Arabic; pair each with a Latin companion. Embed all fonts; fail the self-check on any fallback glyph.</w:t>
      </w:r>
    </w:p>
    <w:p>
      <w:pPr>
        <w:pStyle w:val="ListParagraph"/>
        <w:numPr>
          <w:ilvl w:val="0"/>
          <w:numId w:val="2"/>
        </w:numPr>
        <w:spacing w:after="60"/>
      </w:pPr>
      <w:r>
        <w:t xml:space="preserve">PyMuPDF extracts Arabic words in visual order; normalize to logical order (and strip tatweel, normalize alef forms) before alignment.</w:t>
      </w:r>
    </w:p>
    <w:p>
      <w:r>
        <w:br w:type="page"/>
      </w:r>
    </w:p>
    <w:p>
      <w:pPr>
        <w:pStyle w:val="Heading1"/>
      </w:pPr>
      <w:r>
        <w:t xml:space="preserve">9. Content variation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429"/>
        <w:gridCol w:w="3792"/>
      </w:tblGrid>
      <w:tr>
        <w:trPr>
          <w:tblHeader/>
        </w:trPr>
        <w:tc>
          <w:tcPr>
            <w:tcW w:type="dxa" w:w="180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Dimension</w:t>
            </w:r>
          </w:p>
        </w:tc>
        <w:tc>
          <w:tcPr>
            <w:tcW w:type="dxa" w:w="342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Range</w:t>
            </w:r>
          </w:p>
        </w:tc>
        <w:tc>
          <w:tcPr>
            <w:tcW w:type="dxa" w:w="379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Purpose</w:t>
            </w:r>
          </w:p>
        </w:tc>
      </w:tr>
      <w:tr>
        <w:trPr>
          <w:cantSplit/>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Line items</w:t>
            </w:r>
          </w:p>
        </w:tc>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 to 60, long-tailed (most 1 to 8)</w:t>
            </w:r>
          </w:p>
        </w:tc>
        <w:tc>
          <w:tcPr>
            <w:tcW w:type="dxa" w:w="3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Multi-page tables with repeated headers and carried totals.</w:t>
            </w:r>
          </w:p>
        </w:tc>
      </w:tr>
      <w:tr>
        <w:trPr>
          <w:cantSplit/>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Optional columns</w:t>
            </w:r>
          </w:p>
        </w:tc>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discount, SKU, unit, tax code, HS code, weight</w:t>
            </w:r>
          </w:p>
        </w:tc>
        <w:tc>
          <w:tcPr>
            <w:tcW w:type="dxa" w:w="3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Column-set variation per document.</w:t>
            </w:r>
          </w:p>
        </w:tc>
      </w:tr>
      <w:tr>
        <w:trPr>
          <w:cantSplit/>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Optional sections</w:t>
            </w:r>
          </w:p>
        </w:tc>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PO ref, notes, terms, bank block, signature, stamp, QR</w:t>
            </w:r>
          </w:p>
        </w:tc>
        <w:tc>
          <w:tcPr>
            <w:tcW w:type="dxa" w:w="3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Presence and absence of fields (null labels are valid gold).</w:t>
            </w:r>
          </w:p>
        </w:tc>
      </w:tr>
      <w:tr>
        <w:trPr>
          <w:cantSplit/>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Tax mode</w:t>
            </w:r>
          </w:p>
        </w:tc>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none, single, multi-rate, exempt, reverse charge</w:t>
            </w:r>
          </w:p>
        </w:tc>
        <w:tc>
          <w:tcPr>
            <w:tcW w:type="dxa" w:w="3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Different totals structures.</w:t>
            </w:r>
          </w:p>
        </w:tc>
      </w:tr>
      <w:tr>
        <w:trPr>
          <w:cantSplit/>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Currencies</w:t>
            </w:r>
          </w:p>
        </w:tc>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DZD, EUR, USD, MAD, TND, SAR, AED, GBP</w:t>
            </w:r>
          </w:p>
        </w:tc>
        <w:tc>
          <w:tcPr>
            <w:tcW w:type="dxa" w:w="3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With one-time conversion when the record crosses currencies.</w:t>
            </w:r>
          </w:p>
        </w:tc>
      </w:tr>
      <w:tr>
        <w:trPr>
          <w:cantSplit/>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Description length</w:t>
            </w:r>
          </w:p>
        </w:tc>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short SKU names to two-line descriptions</w:t>
            </w:r>
          </w:p>
        </w:tc>
        <w:tc>
          <w:tcPr>
            <w:tcW w:type="dxa" w:w="3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Text wrapping inside cells.</w:t>
            </w:r>
          </w:p>
        </w:tc>
      </w:tr>
      <w:tr>
        <w:trPr>
          <w:cantSplit/>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Status marks</w:t>
            </w:r>
          </w:p>
        </w:tc>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PAID, COPY, DRAFT, DUPLICATA, CANCELLED</w:t>
            </w:r>
          </w:p>
        </w:tc>
        <w:tc>
          <w:tcPr>
            <w:tcW w:type="dxa" w:w="3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Overlays that partially cover content.</w:t>
            </w:r>
          </w:p>
        </w:tc>
      </w:tr>
      <w:tr>
        <w:trPr>
          <w:cantSplit/>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Handwriting-like marks</w:t>
            </w:r>
          </w:p>
        </w:tc>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script-font signatures, ticks, initials</w:t>
            </w:r>
          </w:p>
        </w:tc>
        <w:tc>
          <w:tcPr>
            <w:tcW w:type="dxa" w:w="3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Visual noise on born-digital docs.</w:t>
            </w:r>
          </w:p>
        </w:tc>
      </w:tr>
      <w:tr>
        <w:trPr>
          <w:cantSplit/>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Edge cases (small %)</w:t>
            </w:r>
          </w:p>
        </w:tc>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zero-amount lines, 100% discount, negative credit lines, very long names</w:t>
            </w:r>
          </w:p>
        </w:tc>
        <w:tc>
          <w:tcPr>
            <w:tcW w:type="dxa" w:w="3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Robustness of models and of the pipeline itself.</w:t>
            </w:r>
          </w:p>
        </w:tc>
      </w:tr>
    </w:tbl>
    <w:p>
      <w:pPr>
        <w:spacing w:after="120"/>
      </w:pPr>
    </w:p>
    <w:p>
      <w:pPr>
        <w:pStyle w:val="Heading1"/>
      </w:pPr>
      <w:r>
        <w:t xml:space="preserve">10. Rendering, annotation and exports</w:t>
      </w:r>
    </w:p>
    <w:p>
      <w:pPr>
        <w:pStyle w:val="Heading2"/>
      </w:pPr>
      <w:r>
        <w:t xml:space="preserve">10.1 Rendering</w:t>
      </w:r>
    </w:p>
    <w:p>
      <w:pPr>
        <w:pStyle w:val="ListParagraph"/>
        <w:numPr>
          <w:ilvl w:val="0"/>
          <w:numId w:val="2"/>
        </w:numPr>
        <w:spacing w:after="60"/>
      </w:pPr>
      <w:r>
        <w:t xml:space="preserve">WeasyPrint stays the engine. Use a process pool (one worker per core) and reuse font configuration across documents; font loading dominates render time for small documents.</w:t>
      </w:r>
    </w:p>
    <w:p>
      <w:pPr>
        <w:pStyle w:val="ListParagraph"/>
        <w:numPr>
          <w:ilvl w:val="0"/>
          <w:numId w:val="2"/>
        </w:numPr>
        <w:spacing w:after="60"/>
      </w:pPr>
      <w:r>
        <w:t xml:space="preserve">Rasterize with PyMuPDF at 150 and 300 DPI; keep 300 DPI for the noise stage.</w:t>
      </w:r>
    </w:p>
    <w:p>
      <w:pPr>
        <w:pStyle w:val="ListParagraph"/>
        <w:numPr>
          <w:ilvl w:val="0"/>
          <w:numId w:val="2"/>
        </w:numPr>
        <w:spacing w:after="60"/>
      </w:pPr>
      <w:r>
        <w:t xml:space="preserve">Charts for report types are rendered to inline SVG from data, so they are vector in the PDF and their numbers are in the gold JSON.</w:t>
      </w:r>
    </w:p>
    <w:p>
      <w:pPr>
        <w:pStyle w:val="ListParagraph"/>
        <w:numPr>
          <w:ilvl w:val="0"/>
          <w:numId w:val="2"/>
        </w:numPr>
        <w:spacing w:after="60"/>
      </w:pPr>
      <w:r>
        <w:t xml:space="preserve">Optional extra outputs for selected types: DOCX (offer letters, contracts) and XLSX (statements, timesheets) through python-docx and openpyxl, from the same record. These widen the dataset to non-PDF inputs.</w:t>
      </w:r>
    </w:p>
    <w:p>
      <w:pPr>
        <w:pStyle w:val="Heading2"/>
      </w:pPr>
      <w:r>
        <w:t xml:space="preserve">10.2 Annotation</w:t>
      </w:r>
    </w:p>
    <w:p>
      <w:pPr>
        <w:pStyle w:val="ListParagraph"/>
        <w:numPr>
          <w:ilvl w:val="0"/>
          <w:numId w:val="2"/>
        </w:numPr>
        <w:spacing w:after="60"/>
      </w:pPr>
      <w:r>
        <w:rPr>
          <w:b/>
          <w:bCs/>
        </w:rPr>
        <w:t xml:space="preserve">Word boxes:</w:t>
      </w:r>
      <w:r>
        <w:t xml:space="preserve"> PyMuPDF </w:t>
      </w:r>
      <w:r>
        <w:rPr>
          <w:rFonts w:ascii="Consolas" w:cs="Consolas" w:eastAsia="Consolas" w:hAnsi="Consolas"/>
          <w:color w:val="444444"/>
          <w:sz w:val="19"/>
          <w:szCs w:val="19"/>
        </w:rPr>
        <w:t xml:space="preserve">get_text("words")</w:t>
      </w:r>
      <w:r>
        <w:t xml:space="preserve"> per page, normalized coordinates (0 to 1000, LayoutLM convention).</w:t>
      </w:r>
    </w:p>
    <w:p>
      <w:pPr>
        <w:pStyle w:val="ListParagraph"/>
        <w:numPr>
          <w:ilvl w:val="0"/>
          <w:numId w:val="2"/>
        </w:numPr>
        <w:spacing w:after="60"/>
      </w:pPr>
      <w:r>
        <w:rPr>
          <w:b/>
          <w:bCs/>
        </w:rPr>
        <w:t xml:space="preserve">Field boxes:</w:t>
      </w:r>
      <w:r>
        <w:t xml:space="preserve"> union of word boxes matched to each field's </w:t>
      </w:r>
      <w:r>
        <w:rPr>
          <w:rFonts w:ascii="Consolas" w:cs="Consolas" w:eastAsia="Consolas" w:hAnsi="Consolas"/>
          <w:color w:val="444444"/>
          <w:sz w:val="19"/>
          <w:szCs w:val="19"/>
        </w:rPr>
        <w:t xml:space="preserve">display</w:t>
      </w:r>
      <w:r>
        <w:t xml:space="preserve"> string; multi-line and multi-page values produce multiple boxes.</w:t>
      </w:r>
    </w:p>
    <w:p>
      <w:pPr>
        <w:pStyle w:val="ListParagraph"/>
        <w:numPr>
          <w:ilvl w:val="0"/>
          <w:numId w:val="2"/>
        </w:numPr>
        <w:spacing w:after="60"/>
      </w:pPr>
      <w:r>
        <w:rPr>
          <w:b/>
          <w:bCs/>
        </w:rPr>
        <w:t xml:space="preserve">Table structure:</w:t>
      </w:r>
      <w:r>
        <w:t xml:space="preserve"> cell boxes and row/column indices for line_table and ledger_table, emitted from known structure plus HTML element positions (render a debug pass with </w:t>
      </w:r>
      <w:r>
        <w:rPr>
          <w:rFonts w:ascii="Consolas" w:cs="Consolas" w:eastAsia="Consolas" w:hAnsi="Consolas"/>
          <w:color w:val="444444"/>
          <w:sz w:val="19"/>
          <w:szCs w:val="19"/>
        </w:rPr>
        <w:t xml:space="preserve">data-field</w:t>
      </w:r>
      <w:r>
        <w:t xml:space="preserve"> attributes and read positions back from PDF annotations or a link-box trick).</w:t>
      </w:r>
    </w:p>
    <w:p>
      <w:pPr>
        <w:pStyle w:val="ListParagraph"/>
        <w:numPr>
          <w:ilvl w:val="0"/>
          <w:numId w:val="2"/>
        </w:numPr>
        <w:spacing w:after="60"/>
      </w:pPr>
      <w:r>
        <w:rPr>
          <w:b/>
          <w:bCs/>
        </w:rPr>
        <w:t xml:space="preserve">Reading order and region labels:</w:t>
      </w:r>
      <w:r>
        <w:t xml:space="preserve"> header, parties, table, totals, footer; useful for layout analysis models.</w:t>
      </w:r>
    </w:p>
    <w:p>
      <w:pPr>
        <w:pStyle w:val="ListParagraph"/>
        <w:numPr>
          <w:ilvl w:val="0"/>
          <w:numId w:val="2"/>
        </w:numPr>
        <w:spacing w:after="60"/>
      </w:pPr>
      <w:r>
        <w:rPr>
          <w:b/>
          <w:bCs/>
        </w:rPr>
        <w:t xml:space="preserve">Bundle labels:</w:t>
      </w:r>
      <w:r>
        <w:t xml:space="preserve"> document links (references) and bundle-level QA pairs generated from the world.</w:t>
      </w:r>
    </w:p>
    <w:p>
      <w:pPr>
        <w:pStyle w:val="Heading2"/>
      </w:pPr>
      <w:r>
        <w:t xml:space="preserve">10.3 Export formats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tblHeader/>
        </w:trPr>
        <w:tc>
          <w:tcPr>
            <w:tcW w:type="dxa" w:w="288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Format</w:t>
            </w:r>
          </w:p>
        </w:tc>
        <w:tc>
          <w:tcPr>
            <w:tcW w:type="dxa" w:w="61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Use</w:t>
            </w:r>
          </w:p>
        </w:tc>
      </w:tr>
      <w:tr>
        <w:trPr>
          <w:cantSplit/>
        </w:trP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Native gold JSON</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Full record, value + display, boxes, render metadata.</w:t>
            </w:r>
          </w:p>
        </w:tc>
      </w:tr>
      <w:tr>
        <w:trPr>
          <w:cantSplit/>
        </w:trP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Donut / Pix2Struct JSON</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OCR-free image-to-JSON models.</w:t>
            </w:r>
          </w:p>
        </w:tc>
      </w:tr>
      <w:tr>
        <w:trPr>
          <w:cantSplit/>
        </w:trP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LayoutLM BIO / FUNSD-style</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Token classification with boxes.</w:t>
            </w:r>
          </w:p>
        </w:tc>
      </w:tr>
      <w:tr>
        <w:trPr>
          <w:cantSplit/>
        </w:trP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Key-value pairs</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KIE benchmarks.</w:t>
            </w:r>
          </w:p>
        </w:tc>
      </w:tr>
      <w:tr>
        <w:trPr>
          <w:cantSplit/>
        </w:trP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QA pairs (single and multi-doc)</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DocVQA-style and bundle reasoning.</w:t>
            </w:r>
          </w:p>
        </w:tc>
      </w:tr>
      <w:tr>
        <w:trPr>
          <w:cantSplit/>
        </w:trP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Classification label</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doc_type, structure_class, locale.</w:t>
            </w:r>
          </w:p>
        </w:tc>
      </w:tr>
      <w:tr>
        <w:trPr>
          <w:cantSplit/>
        </w:trP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Chat-style instruction samples</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Fine-tuning VLMs: image + "extract the invoice as JSON" → gold.</w:t>
            </w:r>
          </w:p>
        </w:tc>
      </w:tr>
    </w:tbl>
    <w:p>
      <w:pPr>
        <w:spacing w:after="120"/>
      </w:pPr>
    </w:p>
    <w:p>
      <w:pPr>
        <w:pStyle w:val="Heading1"/>
      </w:pPr>
      <w:r>
        <w:t xml:space="preserve">11. Self-check, noise and reproducibility</w:t>
      </w:r>
    </w:p>
    <w:p>
      <w:pPr>
        <w:pStyle w:val="Heading2"/>
      </w:pPr>
      <w:r>
        <w:t xml:space="preserve">11.1 Self-check (extended)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7041"/>
      </w:tblGrid>
      <w:tr>
        <w:trPr>
          <w:tblHeader/>
        </w:trPr>
        <w:tc>
          <w:tcPr>
            <w:tcW w:type="dxa" w:w="198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Check</w:t>
            </w:r>
          </w:p>
        </w:tc>
        <w:tc>
          <w:tcPr>
            <w:tcW w:type="dxa" w:w="704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Fails when</w:t>
            </w:r>
          </w:p>
        </w:tc>
      </w:tr>
      <w:tr>
        <w:trPr>
          <w:cantSplit/>
        </w:trPr>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Field presence</w:t>
            </w:r>
          </w:p>
        </w:tc>
        <w:tc>
          <w:tcPr>
            <w:tcW w:type="dxa" w:w="70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non-null gold </w:t>
            </w:r>
            <w:r>
              <w:rPr>
                <w:rFonts w:ascii="Consolas" w:cs="Consolas" w:eastAsia="Consolas" w:hAnsi="Consolas"/>
                <w:color w:val="444444"/>
                <w:sz w:val="18"/>
                <w:szCs w:val="18"/>
              </w:rPr>
              <w:t xml:space="preserve">display</w:t>
            </w:r>
            <w:r>
              <w:rPr>
                <w:sz w:val="18"/>
                <w:szCs w:val="18"/>
              </w:rPr>
              <w:t xml:space="preserve"> string is not found in the extracted text.</w:t>
            </w:r>
          </w:p>
        </w:tc>
      </w:tr>
      <w:tr>
        <w:trPr>
          <w:cantSplit/>
        </w:trPr>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Arithmetic</w:t>
            </w:r>
          </w:p>
        </w:tc>
        <w:tc>
          <w:tcPr>
            <w:tcW w:type="dxa" w:w="70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Lines, tax lines, subtotal, totals, balances, gross-to-net or YTD do not recompute exactly.</w:t>
            </w:r>
          </w:p>
        </w:tc>
      </w:tr>
      <w:tr>
        <w:trPr>
          <w:cantSplit/>
        </w:trPr>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Cross-document</w:t>
            </w:r>
          </w:p>
        </w:tc>
        <w:tc>
          <w:tcPr>
            <w:tcW w:type="dxa" w:w="70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reference points to a missing document, or quantities and amounts disagree across the bundle.</w:t>
            </w:r>
          </w:p>
        </w:tc>
      </w:tr>
      <w:tr>
        <w:trPr>
          <w:cantSplit/>
        </w:trPr>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Overflow</w:t>
            </w:r>
          </w:p>
        </w:tc>
        <w:tc>
          <w:tcPr>
            <w:tcW w:type="dxa" w:w="70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Text is clipped (content box overflow detected in a debug render) or a cell value is truncated.</w:t>
            </w:r>
          </w:p>
        </w:tc>
      </w:tr>
      <w:tr>
        <w:trPr>
          <w:cantSplit/>
        </w:trPr>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Glyph coverage</w:t>
            </w:r>
          </w:p>
        </w:tc>
        <w:tc>
          <w:tcPr>
            <w:tcW w:type="dxa" w:w="70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Any .notdef / tofu glyph or unexpected fallback font in the PDF.</w:t>
            </w:r>
          </w:p>
        </w:tc>
      </w:tr>
      <w:tr>
        <w:trPr>
          <w:cantSplit/>
        </w:trPr>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Bidi</w:t>
            </w:r>
          </w:p>
        </w:tc>
        <w:tc>
          <w:tcPr>
            <w:tcW w:type="dxa" w:w="70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Logical-order text of an RTL field does not equal its gold string after normalization.</w:t>
            </w:r>
          </w:p>
        </w:tc>
      </w:tr>
      <w:tr>
        <w:trPr>
          <w:cantSplit/>
        </w:trPr>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Page sanity</w:t>
            </w:r>
          </w:p>
        </w:tc>
        <w:tc>
          <w:tcPr>
            <w:tcW w:type="dxa" w:w="70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Page count outside the type's expected range; empty trailing page.</w:t>
            </w:r>
          </w:p>
        </w:tc>
      </w:tr>
      <w:tr>
        <w:trPr>
          <w:cantSplit/>
        </w:trPr>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Duplicate look</w:t>
            </w:r>
          </w:p>
        </w:tc>
        <w:tc>
          <w:tcPr>
            <w:tcW w:type="dxa" w:w="70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Perceptual hash too close to an existing document of the same type (keeps the set diverse).</w:t>
            </w:r>
          </w:p>
        </w:tc>
      </w:tr>
    </w:tbl>
    <w:p>
      <w:pPr>
        <w:spacing w:after="120"/>
      </w:pPr>
    </w:p>
    <w:p>
      <w:pPr>
        <w:spacing w:after="120"/>
      </w:pPr>
      <w:r>
        <w:t xml:space="preserve">Dropped documents are logged with reasons. The drop rate per type and layout is a health metric: a layout that drops 10% of its documents has a bug.</w:t>
      </w:r>
    </w:p>
    <w:p>
      <w:pPr>
        <w:pStyle w:val="Heading2"/>
      </w:pPr>
      <w:r>
        <w:t xml:space="preserve">11.2 Noise stage</w:t>
      </w:r>
    </w:p>
    <w:p>
      <w:pPr>
        <w:pStyle w:val="ListParagraph"/>
        <w:numPr>
          <w:ilvl w:val="0"/>
          <w:numId w:val="2"/>
        </w:numPr>
        <w:spacing w:after="60"/>
      </w:pPr>
      <w:r>
        <w:t xml:space="preserve">Augraphy pipelines plus custom transforms: scan (skew, blur, JPEG, bleed-through), photo (perspective, shadows, uneven light, background table), fax (binarize, low DPI), and physical marks (folds, coffee stain, stamp overlay, pen marks).</w:t>
      </w:r>
    </w:p>
    <w:p>
      <w:pPr>
        <w:pStyle w:val="ListParagraph"/>
        <w:numPr>
          <w:ilvl w:val="0"/>
          <w:numId w:val="2"/>
        </w:numPr>
        <w:spacing w:after="60"/>
      </w:pPr>
      <w:r>
        <w:t xml:space="preserve">Boxes are transformed with the same geometric matrix, so noisy images keep valid annotations.</w:t>
      </w:r>
    </w:p>
    <w:p>
      <w:pPr>
        <w:pStyle w:val="ListParagraph"/>
        <w:numPr>
          <w:ilvl w:val="0"/>
          <w:numId w:val="2"/>
        </w:numPr>
        <w:spacing w:after="60"/>
      </w:pPr>
      <w:r>
        <w:t xml:space="preserve">Every noisy image stores its transform log and points to its clean twin.</w:t>
      </w:r>
    </w:p>
    <w:p>
      <w:pPr>
        <w:pStyle w:val="Heading2"/>
      </w:pPr>
      <w:r>
        <w:t xml:space="preserve">11.3 Reproducibility and splits</w:t>
      </w:r>
    </w:p>
    <w:p>
      <w:pPr>
        <w:shd w:fill="F3F4F6" w:color="auto" w:val="clear"/>
        <w:spacing w:after="0" w:before="60"/>
      </w:pPr>
      <w:r>
        <w:rPr>
          <w:rFonts w:ascii="Consolas" w:cs="Consolas" w:eastAsia="Consolas" w:hAnsi="Consolas"/>
          <w:sz w:val="17"/>
          <w:szCs w:val="17"/>
        </w:rPr>
        <w:t xml:space="preserve">release: v2.0</w:t>
      </w:r>
    </w:p>
    <w:p>
      <w:pPr>
        <w:shd w:fill="F3F4F6" w:color="auto" w:val="clear"/>
        <w:spacing w:after="0" w:before="0"/>
      </w:pPr>
      <w:r>
        <w:rPr>
          <w:rFonts w:ascii="Consolas" w:cs="Consolas" w:eastAsia="Consolas" w:hAnsi="Consolas"/>
          <w:sz w:val="17"/>
          <w:szCs w:val="17"/>
        </w:rPr>
        <w:t xml:space="preserve">seed: 20261005</w:t>
      </w:r>
    </w:p>
    <w:p>
      <w:pPr>
        <w:shd w:fill="F3F4F6" w:color="auto" w:val="clear"/>
        <w:spacing w:after="0" w:before="0"/>
      </w:pPr>
      <w:r>
        <w:rPr>
          <w:rFonts w:ascii="Consolas" w:cs="Consolas" w:eastAsia="Consolas" w:hAnsi="Consolas"/>
          <w:sz w:val="17"/>
          <w:szCs w:val="17"/>
        </w:rPr>
        <w:t xml:space="preserve">world: {issuers: 120, years: [2024, 2026], northwind: data/northwind.sqlite}</w:t>
      </w:r>
    </w:p>
    <w:p>
      <w:pPr>
        <w:shd w:fill="F3F4F6" w:color="auto" w:val="clear"/>
        <w:spacing w:after="0" w:before="0"/>
      </w:pPr>
      <w:r>
        <w:rPr>
          <w:rFonts w:ascii="Consolas" w:cs="Consolas" w:eastAsia="Consolas" w:hAnsi="Consolas"/>
          <w:sz w:val="17"/>
          <w:szCs w:val="17"/>
        </w:rPr>
        <w:t xml:space="preserve">types:</w:t>
      </w:r>
    </w:p>
    <w:p>
      <w:pPr>
        <w:shd w:fill="F3F4F6" w:color="auto" w:val="clear"/>
        <w:spacing w:after="0" w:before="0"/>
      </w:pPr>
      <w:r>
        <w:rPr>
          <w:rFonts w:ascii="Consolas" w:cs="Consolas" w:eastAsia="Consolas" w:hAnsi="Consolas"/>
          <w:sz w:val="17"/>
          <w:szCs w:val="17"/>
        </w:rPr>
        <w:t xml:space="preserve">  invoice:        {count: 6000, layouts: [T.classic, T.banner, T.sidebar, T.dense, T.minimal]}</w:t>
      </w:r>
    </w:p>
    <w:p>
      <w:pPr>
        <w:shd w:fill="F3F4F6" w:color="auto" w:val="clear"/>
        <w:spacing w:after="0" w:before="0"/>
      </w:pPr>
      <w:r>
        <w:rPr>
          <w:rFonts w:ascii="Consolas" w:cs="Consolas" w:eastAsia="Consolas" w:hAnsi="Consolas"/>
          <w:sz w:val="17"/>
          <w:szCs w:val="17"/>
        </w:rPr>
        <w:t xml:space="preserve">  bank_statement: {count: 2000, layouts: [L.classic, L.dense]}</w:t>
      </w:r>
    </w:p>
    <w:p>
      <w:pPr>
        <w:shd w:fill="F3F4F6" w:color="auto" w:val="clear"/>
        <w:spacing w:after="0" w:before="0"/>
      </w:pPr>
      <w:r>
        <w:rPr>
          <w:rFonts w:ascii="Consolas" w:cs="Consolas" w:eastAsia="Consolas" w:hAnsi="Consolas"/>
          <w:sz w:val="17"/>
          <w:szCs w:val="17"/>
        </w:rPr>
        <w:t xml:space="preserve">  payslip:        {count: 2000}</w:t>
      </w:r>
    </w:p>
    <w:p>
      <w:pPr>
        <w:shd w:fill="F3F4F6" w:color="auto" w:val="clear"/>
        <w:spacing w:after="0" w:before="0"/>
      </w:pPr>
      <w:r>
        <w:rPr>
          <w:rFonts w:ascii="Consolas" w:cs="Consolas" w:eastAsia="Consolas" w:hAnsi="Consolas"/>
          <w:sz w:val="17"/>
          <w:szCs w:val="17"/>
        </w:rPr>
        <w:t xml:space="preserve">locales: {en: .35, fr: .30, ar: .20, fr-ar: .10, en-ar: .05}</w:t>
      </w:r>
    </w:p>
    <w:p>
      <w:pPr>
        <w:shd w:fill="F3F4F6" w:color="auto" w:val="clear"/>
        <w:spacing w:after="0" w:before="0"/>
      </w:pPr>
      <w:r>
        <w:rPr>
          <w:rFonts w:ascii="Consolas" w:cs="Consolas" w:eastAsia="Consolas" w:hAnsi="Consolas"/>
          <w:sz w:val="17"/>
          <w:szCs w:val="17"/>
        </w:rPr>
        <w:t xml:space="preserve">themes: all</w:t>
      </w:r>
    </w:p>
    <w:p>
      <w:pPr>
        <w:shd w:fill="F3F4F6" w:color="auto" w:val="clear"/>
        <w:spacing w:after="0" w:before="0"/>
      </w:pPr>
      <w:r>
        <w:rPr>
          <w:rFonts w:ascii="Consolas" w:cs="Consolas" w:eastAsia="Consolas" w:hAnsi="Consolas"/>
          <w:sz w:val="17"/>
          <w:szCs w:val="17"/>
        </w:rPr>
        <w:t xml:space="preserve">noise: {fraction: .4, profiles: [scan, photo, fax]}</w:t>
      </w:r>
    </w:p>
    <w:p>
      <w:pPr>
        <w:shd w:fill="F3F4F6" w:color="auto" w:val="clear"/>
        <w:spacing w:after="0" w:before="0"/>
      </w:pPr>
      <w:r>
        <w:rPr>
          <w:rFonts w:ascii="Consolas" w:cs="Consolas" w:eastAsia="Consolas" w:hAnsi="Consolas"/>
          <w:sz w:val="17"/>
          <w:szCs w:val="17"/>
        </w:rPr>
        <w:t xml:space="preserve">splits:</w:t>
      </w:r>
    </w:p>
    <w:p>
      <w:pPr>
        <w:shd w:fill="F3F4F6" w:color="auto" w:val="clear"/>
        <w:spacing w:after="160" w:before="0"/>
      </w:pPr>
      <w:r>
        <w:rPr>
          <w:rFonts w:ascii="Consolas" w:cs="Consolas" w:eastAsia="Consolas" w:hAnsi="Consolas"/>
          <w:sz w:val="17"/>
          <w:szCs w:val="17"/>
        </w:rPr>
        <w:t xml:space="preserve">  test_holdout: {layouts: [T.minimal, L.dense], themes: [ink], issuers: 10%}</w:t>
      </w:r>
    </w:p>
    <w:p>
      <w:pPr>
        <w:pStyle w:val="ListParagraph"/>
        <w:numPr>
          <w:ilvl w:val="0"/>
          <w:numId w:val="2"/>
        </w:numPr>
        <w:spacing w:after="60"/>
      </w:pPr>
      <w:r>
        <w:t xml:space="preserve">doc_id = hash(event_id, doc_type, layout, theme, locale, label_variant, seed), stable across runs.</w:t>
      </w:r>
    </w:p>
    <w:p>
      <w:pPr>
        <w:pStyle w:val="ListParagraph"/>
        <w:numPr>
          <w:ilvl w:val="0"/>
          <w:numId w:val="2"/>
        </w:numPr>
        <w:spacing w:after="60"/>
      </w:pPr>
      <w:r>
        <w:t xml:space="preserve">Splits by issuer and by held-out layouts and themes, never randomly by document, to prevent leakage through shared headers.</w:t>
      </w:r>
    </w:p>
    <w:p>
      <w:pPr>
        <w:pStyle w:val="ListParagraph"/>
        <w:numPr>
          <w:ilvl w:val="0"/>
          <w:numId w:val="2"/>
        </w:numPr>
        <w:spacing w:after="60"/>
      </w:pPr>
      <w:r>
        <w:t xml:space="preserve">A manifest (parquet) lists every document with its metadata and check results; the Hugging Face dataset card is generated from it, with per-type and per-locale counts.</w:t>
      </w:r>
    </w:p>
    <w:p>
      <w:r>
        <w:br w:type="page"/>
      </w:r>
    </w:p>
    <w:p>
      <w:pPr>
        <w:pStyle w:val="Heading1"/>
      </w:pPr>
      <w:r>
        <w:t xml:space="preserve">12.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693"/>
        <w:gridCol w:w="2528"/>
      </w:tblGrid>
      <w:tr>
        <w:trPr>
          <w:tblHeader/>
        </w:trPr>
        <w:tc>
          <w:tcPr>
            <w:tcW w:type="dxa" w:w="180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Phase</w:t>
            </w:r>
          </w:p>
        </w:tc>
        <w:tc>
          <w:tcPr>
            <w:tcW w:type="dxa" w:w="469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Scope</w:t>
            </w:r>
          </w:p>
        </w:tc>
        <w:tc>
          <w:tcPr>
            <w:tcW w:type="dxa" w:w="252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Exit criteria</w:t>
            </w:r>
          </w:p>
        </w:tc>
      </w:tr>
      <w:tr>
        <w:trPr>
          <w:cantSplit/>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 · Milestone (v1 plan)</w:t>
            </w:r>
          </w:p>
        </w:tc>
        <w:tc>
          <w:tcPr>
            <w:tcW w:type="dxa" w:w="46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Invoice, PO, packing slip; 4 layouts × 3 themes; en, fr; about 500 docs.</w:t>
            </w:r>
          </w:p>
        </w:tc>
        <w:tc>
          <w:tcPr>
            <w:tcW w:type="dxa" w:w="25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End-to-end run, self-check passing, gold JSON + word boxes.</w:t>
            </w:r>
          </w:p>
        </w:tc>
      </w:tr>
      <w:tr>
        <w:trPr>
          <w:cantSplit/>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 · World + order-to-cash</w:t>
            </w:r>
          </w:p>
        </w:tc>
        <w:tc>
          <w:tcPr>
            <w:tcW w:type="dxa" w:w="46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World simulator, bundles, value/display split. Add quotation, proforma, order confirmation, credit note, receipt, delivery note, supplier invoice, account statement.</w:t>
            </w:r>
          </w:p>
        </w:tc>
        <w:tc>
          <w:tcPr>
            <w:tcW w:type="dxa" w:w="25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Bundles pass cross-document checks; first release on HF (v2.0) with about 10k docs.</w:t>
            </w:r>
          </w:p>
        </w:tc>
      </w:tr>
      <w:tr>
        <w:trPr>
          <w:cantSplit/>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 · Arabic + finance + logistics</w:t>
            </w:r>
          </w:p>
        </w:tc>
        <w:tc>
          <w:tcPr>
            <w:tcW w:type="dxa" w:w="46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ar and bilingual variants, RTL components. Add bank statement, payslip, expense report, BoL, commercial invoice, shipping label, GRN, RFQ, remittance, reminders, work certificate, letter, memo.</w:t>
            </w:r>
          </w:p>
        </w:tc>
        <w:tc>
          <w:tcPr>
            <w:tcW w:type="dxa" w:w="25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Bidi and glyph checks green; per-locale drop rate under target.</w:t>
            </w:r>
          </w:p>
        </w:tc>
      </w:tr>
      <w:tr>
        <w:trPr>
          <w:cantSplit/>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 · Narrative + services</w:t>
            </w:r>
          </w:p>
        </w:tc>
        <w:tc>
          <w:tcPr>
            <w:tcW w:type="dxa" w:w="46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Clause library, optional paraphrase pass. Add contracts, NDA, offer letter, minutes, timesheet, leave request, utility and telecom bills, rent receipt, cheque, waybill, CoO, petty cash, journal voucher, price list.</w:t>
            </w:r>
          </w:p>
        </w:tc>
        <w:tc>
          <w:tcPr>
            <w:tcW w:type="dxa" w:w="25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All six structure classes covered.</w:t>
            </w:r>
          </w:p>
        </w:tc>
      </w:tr>
      <w:tr>
        <w:trPr>
          <w:cantSplit/>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 · Reports + noise + tasks</w:t>
            </w:r>
          </w:p>
        </w:tc>
        <w:tc>
          <w:tcPr>
            <w:tcW w:type="dxa" w:w="46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Report class with charts, remaining types, full noise stage, multi-doc QA exports, holdout benchmark split.</w:t>
            </w:r>
          </w:p>
        </w:tc>
        <w:tc>
          <w:tcPr>
            <w:tcW w:type="dxa" w:w="25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Benchmark split published with baseline results.</w:t>
            </w:r>
          </w:p>
        </w:tc>
      </w:tr>
    </w:tbl>
    <w:p>
      <w:pPr>
        <w:spacing w:after="120"/>
      </w:pPr>
    </w:p>
    <w:p>
      <w:pPr>
        <w:pStyle w:val="Heading1"/>
      </w:pPr>
      <w:r>
        <w:t xml:space="preserve">13. Risks and safeguards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tblHeader/>
        </w:trPr>
        <w:tc>
          <w:tcPr>
            <w:tcW w:type="dxa" w:w="288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Risk</w:t>
            </w:r>
          </w:p>
        </w:tc>
        <w:tc>
          <w:tcPr>
            <w:tcW w:type="dxa" w:w="61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Mitigation</w:t>
            </w:r>
          </w:p>
        </w:tc>
      </w:tr>
      <w:tr>
        <w:trPr>
          <w:cantSplit/>
        </w:trP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Generated documents used as fakes (receipts, bank statements, certificates)</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Fictional entities, banks and authorities only; no real logos or form replicas; embedded PDF metadata marking the file as synthetic; optional visible SPECIMEN watermark for banking, government-style and HR documents, on by default in public releases of those types.</w:t>
            </w:r>
          </w:p>
        </w:tc>
      </w:tr>
      <w:tr>
        <w:trPr>
          <w:cantSplit/>
        </w:trP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Template memorization</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Layout grammar, geometry jitter, label synonyms, held-out layouts in test.</w:t>
            </w:r>
          </w:p>
        </w:tc>
      </w:tr>
      <w:tr>
        <w:trPr>
          <w:cantSplit/>
        </w:trP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Wrong or stale tax and payroll rules</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Rules in config, labeled synthetic in the dataset card; consistency is checked, legality is not claimed.</w:t>
            </w:r>
          </w:p>
        </w:tc>
      </w:tr>
      <w:tr>
        <w:trPr>
          <w:cantSplit/>
        </w:trP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Bidi and font bugs in Arabic</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Glyph-coverage and bidi checks gate every document; visual review sample per release.</w:t>
            </w:r>
          </w:p>
        </w:tc>
      </w:tr>
      <w:tr>
        <w:trPr>
          <w:cantSplit/>
        </w:trP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Annotation drift between record and render</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value/display split, exact-match alignment, field-presence check.</w:t>
            </w:r>
          </w:p>
        </w:tc>
      </w:tr>
      <w:tr>
        <w:trPr>
          <w:cantSplit/>
        </w:trP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Scope creep across 48 types</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Structure classes first, types second; each phase ships a release.</w:t>
            </w:r>
          </w:p>
        </w:tc>
      </w:tr>
    </w:tbl>
    <w:p>
      <w:pPr>
        <w:spacing w:after="120"/>
      </w:pPr>
    </w:p>
    <w:p>
      <w:pPr>
        <w:pStyle w:val="Heading1"/>
      </w:pPr>
      <w:r>
        <w:t xml:space="preserve">14. Repository layout</w:t>
      </w:r>
    </w:p>
    <w:p>
      <w:pPr>
        <w:shd w:fill="F3F4F6" w:color="auto" w:val="clear"/>
        <w:spacing w:after="0" w:before="60"/>
      </w:pPr>
      <w:r>
        <w:rPr>
          <w:rFonts w:ascii="Consolas" w:cs="Consolas" w:eastAsia="Consolas" w:hAnsi="Consolas"/>
          <w:sz w:val="17"/>
          <w:szCs w:val="17"/>
        </w:rPr>
        <w:t xml:space="preserve">companydocs/</w:t>
      </w:r>
    </w:p>
    <w:p>
      <w:pPr>
        <w:shd w:fill="F3F4F6" w:color="auto" w:val="clear"/>
        <w:spacing w:after="0" w:before="0"/>
      </w:pPr>
      <w:r>
        <w:rPr>
          <w:rFonts w:ascii="Consolas" w:cs="Consolas" w:eastAsia="Consolas" w:hAnsi="Consolas"/>
          <w:sz w:val="17"/>
          <w:szCs w:val="17"/>
        </w:rPr>
        <w:t xml:space="preserve">  world/          entities.py, simulator.py, northwind_import.py, providers/ (maghreb, gulf)</w:t>
      </w:r>
    </w:p>
    <w:p>
      <w:pPr>
        <w:shd w:fill="F3F4F6" w:color="auto" w:val="clear"/>
        <w:spacing w:after="0" w:before="0"/>
      </w:pPr>
      <w:r>
        <w:rPr>
          <w:rFonts w:ascii="Consolas" w:cs="Consolas" w:eastAsia="Consolas" w:hAnsi="Consolas"/>
          <w:sz w:val="17"/>
          <w:szCs w:val="17"/>
        </w:rPr>
        <w:t xml:space="preserve">  records/        base.py (envelope, Money, Party…), invoice.py, statement.py, payslip.py, …</w:t>
      </w:r>
    </w:p>
    <w:p>
      <w:pPr>
        <w:shd w:fill="F3F4F6" w:color="auto" w:val="clear"/>
        <w:spacing w:after="0" w:before="0"/>
      </w:pPr>
      <w:r>
        <w:rPr>
          <w:rFonts w:ascii="Consolas" w:cs="Consolas" w:eastAsia="Consolas" w:hAnsi="Consolas"/>
          <w:sz w:val="17"/>
          <w:szCs w:val="17"/>
        </w:rPr>
        <w:t xml:space="preserve">  rules/          tax/*.yaml, payroll/*.yaml, numbering.yaml, identifiers.py</w:t>
      </w:r>
    </w:p>
    <w:p>
      <w:pPr>
        <w:shd w:fill="F3F4F6" w:color="auto" w:val="clear"/>
        <w:spacing w:after="0" w:before="0"/>
      </w:pPr>
      <w:r>
        <w:rPr>
          <w:rFonts w:ascii="Consolas" w:cs="Consolas" w:eastAsia="Consolas" w:hAnsi="Consolas"/>
          <w:sz w:val="17"/>
          <w:szCs w:val="17"/>
        </w:rPr>
        <w:t xml:space="preserve">  locale/         formatters.py, labels/{en,fr,ar}.yaml, bidi.py, words.py</w:t>
      </w:r>
    </w:p>
    <w:p>
      <w:pPr>
        <w:shd w:fill="F3F4F6" w:color="auto" w:val="clear"/>
        <w:spacing w:after="0" w:before="0"/>
      </w:pPr>
      <w:r>
        <w:rPr>
          <w:rFonts w:ascii="Consolas" w:cs="Consolas" w:eastAsia="Consolas" w:hAnsi="Consolas"/>
          <w:sz w:val="17"/>
          <w:szCs w:val="17"/>
        </w:rPr>
        <w:t xml:space="preserve">  content/        clauses/{nda,contract,offer}/{en,fr,ar}.yaml, paraphrase_cache/</w:t>
      </w:r>
    </w:p>
    <w:p>
      <w:pPr>
        <w:shd w:fill="F3F4F6" w:color="auto" w:val="clear"/>
        <w:spacing w:after="0" w:before="0"/>
      </w:pPr>
      <w:r>
        <w:rPr>
          <w:rFonts w:ascii="Consolas" w:cs="Consolas" w:eastAsia="Consolas" w:hAnsi="Consolas"/>
          <w:sz w:val="17"/>
          <w:szCs w:val="17"/>
        </w:rPr>
        <w:t xml:space="preserve">  templates/      components/*.j2, layouts/{T,L,F,N,C,R}/*.yaml, base.html.j2</w:t>
      </w:r>
    </w:p>
    <w:p>
      <w:pPr>
        <w:shd w:fill="F3F4F6" w:color="auto" w:val="clear"/>
        <w:spacing w:after="0" w:before="0"/>
      </w:pPr>
      <w:r>
        <w:rPr>
          <w:rFonts w:ascii="Consolas" w:cs="Consolas" w:eastAsia="Consolas" w:hAnsi="Consolas"/>
          <w:sz w:val="17"/>
          <w:szCs w:val="17"/>
        </w:rPr>
        <w:t xml:space="preserve">  themes/         *.yaml → CSS, fonts/, logo.py</w:t>
      </w:r>
    </w:p>
    <w:p>
      <w:pPr>
        <w:shd w:fill="F3F4F6" w:color="auto" w:val="clear"/>
        <w:spacing w:after="0" w:before="0"/>
      </w:pPr>
      <w:r>
        <w:rPr>
          <w:rFonts w:ascii="Consolas" w:cs="Consolas" w:eastAsia="Consolas" w:hAnsi="Consolas"/>
          <w:sz w:val="17"/>
          <w:szCs w:val="17"/>
        </w:rPr>
        <w:t xml:space="preserve">  render/         weasy.py, raster.py, extra_formats.py (docx, xlsx)</w:t>
      </w:r>
    </w:p>
    <w:p>
      <w:pPr>
        <w:shd w:fill="F3F4F6" w:color="auto" w:val="clear"/>
        <w:spacing w:after="0" w:before="0"/>
      </w:pPr>
      <w:r>
        <w:rPr>
          <w:rFonts w:ascii="Consolas" w:cs="Consolas" w:eastAsia="Consolas" w:hAnsi="Consolas"/>
          <w:sz w:val="17"/>
          <w:szCs w:val="17"/>
        </w:rPr>
        <w:t xml:space="preserve">  annotate/       words.py, align.py, tables.py, exports/{donut,funsd,qa,chat}.py</w:t>
      </w:r>
    </w:p>
    <w:p>
      <w:pPr>
        <w:shd w:fill="F3F4F6" w:color="auto" w:val="clear"/>
        <w:spacing w:after="0" w:before="0"/>
      </w:pPr>
      <w:r>
        <w:rPr>
          <w:rFonts w:ascii="Consolas" w:cs="Consolas" w:eastAsia="Consolas" w:hAnsi="Consolas"/>
          <w:sz w:val="17"/>
          <w:szCs w:val="17"/>
        </w:rPr>
        <w:t xml:space="preserve">  validate/       checks.py, report.py</w:t>
      </w:r>
    </w:p>
    <w:p>
      <w:pPr>
        <w:shd w:fill="F3F4F6" w:color="auto" w:val="clear"/>
        <w:spacing w:after="0" w:before="0"/>
      </w:pPr>
      <w:r>
        <w:rPr>
          <w:rFonts w:ascii="Consolas" w:cs="Consolas" w:eastAsia="Consolas" w:hAnsi="Consolas"/>
          <w:sz w:val="17"/>
          <w:szCs w:val="17"/>
        </w:rPr>
        <w:t xml:space="preserve">  noise/          profiles.yaml, augment.py</w:t>
      </w:r>
    </w:p>
    <w:p>
      <w:pPr>
        <w:shd w:fill="F3F4F6" w:color="auto" w:val="clear"/>
        <w:spacing w:after="0" w:before="0"/>
      </w:pPr>
      <w:r>
        <w:rPr>
          <w:rFonts w:ascii="Consolas" w:cs="Consolas" w:eastAsia="Consolas" w:hAnsi="Consolas"/>
          <w:sz w:val="17"/>
          <w:szCs w:val="17"/>
        </w:rPr>
        <w:t xml:space="preserve">  cli.py          generate | validate | export | card</w:t>
      </w:r>
    </w:p>
    <w:p>
      <w:pPr>
        <w:shd w:fill="F3F4F6" w:color="auto" w:val="clear"/>
        <w:spacing w:after="0" w:before="0"/>
      </w:pPr>
      <w:r>
        <w:rPr>
          <w:rFonts w:ascii="Consolas" w:cs="Consolas" w:eastAsia="Consolas" w:hAnsi="Consolas"/>
          <w:sz w:val="17"/>
          <w:szCs w:val="17"/>
        </w:rPr>
        <w:t xml:space="preserve">  configs/        v2.0.yaml</w:t>
      </w:r>
    </w:p>
    <w:p>
      <w:pPr>
        <w:shd w:fill="F3F4F6" w:color="auto" w:val="clear"/>
        <w:spacing w:after="160" w:before="0"/>
      </w:pPr>
      <w:r>
        <w:rPr>
          <w:rFonts w:ascii="Consolas" w:cs="Consolas" w:eastAsia="Consolas" w:hAnsi="Consolas"/>
          <w:sz w:val="17"/>
          <w:szCs w:val="17"/>
        </w:rPr>
        <w:t xml:space="preserve">  tests/          property tests on arithmetic, golden renders per layout</w:t>
      </w:r>
    </w:p>
    <w:p>
      <w:pPr>
        <w:pStyle w:val="Heading1"/>
      </w:pPr>
      <w:r>
        <w:t xml:space="preserve">15. Open questions resolved and remaining</w:t>
      </w:r>
    </w:p>
    <w:p>
      <w:pPr>
        <w:pStyle w:val="Heading2"/>
      </w:pPr>
      <w:r>
        <w:t xml:space="preserve">Resolved</w:t>
      </w:r>
    </w:p>
    <w:p>
      <w:pPr>
        <w:pStyle w:val="ListParagraph"/>
        <w:numPr>
          <w:ilvl w:val="0"/>
          <w:numId w:val="2"/>
        </w:numPr>
        <w:spacing w:after="60"/>
      </w:pPr>
      <w:r>
        <w:rPr>
          <w:b/>
          <w:bCs/>
        </w:rPr>
        <w:t xml:space="preserve">Languages:</w:t>
      </w:r>
      <w:r>
        <w:t xml:space="preserve"> English, French and Arabic, in that order, with Arabic arriving in phase 2 together with the RTL component work. Bilingual fr-ar and en-ar come with Arabic, since they are common in the target regions and reuse the same components.</w:t>
      </w:r>
    </w:p>
    <w:p>
      <w:pPr>
        <w:pStyle w:val="ListParagraph"/>
        <w:numPr>
          <w:ilvl w:val="0"/>
          <w:numId w:val="2"/>
        </w:numPr>
        <w:spacing w:after="60"/>
      </w:pPr>
      <w:r>
        <w:rPr>
          <w:b/>
          <w:bCs/>
        </w:rPr>
        <w:t xml:space="preserve">Data source:</w:t>
      </w:r>
      <w:r>
        <w:t xml:space="preserve"> Northwind where it fits, synthetic events everywhere else, all inside one world so they stay consistent.</w:t>
      </w:r>
    </w:p>
    <w:p>
      <w:pPr>
        <w:pStyle w:val="ListParagraph"/>
        <w:numPr>
          <w:ilvl w:val="0"/>
          <w:numId w:val="2"/>
        </w:numPr>
        <w:spacing w:after="60"/>
      </w:pPr>
      <w:r>
        <w:rPr>
          <w:b/>
          <w:bCs/>
        </w:rPr>
        <w:t xml:space="preserve">Catalog:</w:t>
      </w:r>
      <w:r>
        <w:t xml:space="preserve"> all business families, organized by structure class.</w:t>
      </w:r>
    </w:p>
    <w:p>
      <w:pPr>
        <w:pStyle w:val="Heading2"/>
      </w:pPr>
      <w:r>
        <w:t xml:space="preserve">Remaining</w:t>
      </w:r>
    </w:p>
    <w:p>
      <w:pPr>
        <w:pStyle w:val="ListParagraph"/>
        <w:numPr>
          <w:ilvl w:val="0"/>
          <w:numId w:val="2"/>
        </w:numPr>
        <w:spacing w:after="60"/>
      </w:pPr>
      <w:r>
        <w:t xml:space="preserve">Is the paraphrase pass worth it in phase 3, or is clause-variant sampling enough? Decide after measuring text diversity (distinct n-grams) on the clause library alone.</w:t>
      </w:r>
    </w:p>
    <w:p>
      <w:pPr>
        <w:pStyle w:val="ListParagraph"/>
        <w:numPr>
          <w:ilvl w:val="0"/>
          <w:numId w:val="2"/>
        </w:numPr>
        <w:spacing w:after="60"/>
      </w:pPr>
      <w:r>
        <w:t xml:space="preserve">Should DOCX and XLSX outputs be part of the main release or a separate subset?</w:t>
      </w:r>
    </w:p>
    <w:p>
      <w:pPr>
        <w:pStyle w:val="ListParagraph"/>
        <w:numPr>
          <w:ilvl w:val="0"/>
          <w:numId w:val="2"/>
        </w:numPr>
        <w:spacing w:after="60"/>
      </w:pPr>
      <w:r>
        <w:t xml:space="preserve">Target size per release: a balanced count per type, or a realistic frequency mix (invoices dominate in practice)? A good default is a realistic mix for train and a balanced set for test.</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t xml:space="preserve">CompanyDocuments v2 design ·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4E79"/>
      <w:sz w:val="30"/>
      <w:szCs w:val="30"/>
    </w:rPr>
  </w:style>
  <w:style w:type="paragraph" w:styleId="Heading2">
    <w:name w:val="Heading 2"/>
    <w:basedOn w:val="Normal"/>
    <w:next w:val="Normal"/>
    <w:qFormat/>
    <w:pPr>
      <w:spacing w:after="100" w:before="220"/>
      <w:outlineLvl w:val="1"/>
    </w:pPr>
    <w:rPr>
      <w:b/>
      <w:bCs/>
      <w:color w:val="2E2E2E"/>
      <w:sz w:val="24"/>
      <w:szCs w:val="24"/>
    </w:rPr>
  </w:style>
  <w:style w:type="paragraph" w:styleId="Heading3">
    <w:name w:val="Heading 3"/>
    <w:basedOn w:val="Normal"/>
    <w:next w:val="Normal"/>
    <w:qFormat/>
    <w:pPr>
      <w:spacing w:after="80" w:before="160"/>
      <w:outlineLvl w:val="2"/>
    </w:pPr>
    <w:rPr>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CompanyDocuments v2: Extended Generator Design</dc:title>
  <dc:creator>Ayoub Cherguelaine</dc:creator>
  <cp:lastModifiedBy>Un-named</cp:lastModifiedBy>
  <cp:revision>1</cp:revision>
  <dcterms:created xsi:type="dcterms:W3CDTF">2026-10-05T15:20:23.760Z</dcterms:created>
  <dcterms:modified xsi:type="dcterms:W3CDTF">2026-10-05T15:20:23.761Z</dcterms:modified>
</cp:coreProperties>
</file>

<file path=docProps/custom.xml><?xml version="1.0" encoding="utf-8"?>
<Properties xmlns="http://schemas.openxmlformats.org/officeDocument/2006/custom-properties" xmlns:vt="http://schemas.openxmlformats.org/officeDocument/2006/docPropsVTypes"/>
</file>