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1AFC78BD">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6BEA9B15" w:rsidR="004F262F" w:rsidRPr="004F262F" w:rsidRDefault="00000000" w:rsidP="004F262F">
      <w:pPr>
        <w:pStyle w:val="ListParagraph"/>
        <w:bidi/>
        <w:spacing w:after="160" w:line="360" w:lineRule="auto"/>
        <w:ind w:left="1080"/>
        <w:jc w:val="center"/>
        <w:rPr>
          <w:rFonts w:asciiTheme="majorHAnsi" w:eastAsiaTheme="minorEastAsia" w:hAnsiTheme="majorHAnsi" w:cstheme="majorHAnsi"/>
          <w:color w:val="7030A0"/>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r>
            <w:rPr>
              <w:rFonts w:ascii="Cambria Math" w:eastAsiaTheme="minorEastAsia" w:hAnsi="Cambria Math" w:cstheme="majorHAnsi"/>
              <w:color w:val="7030A0"/>
            </w:rPr>
            <m:t>[</m:t>
          </m:r>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5872227D"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r>
                    <w:rPr>
                      <w:rFonts w:ascii="Cambria Math" w:eastAsiaTheme="minorEastAsia" w:hAnsi="Cambria Math" w:cstheme="majorHAnsi"/>
                      <w:color w:val="7030A0"/>
                    </w:rPr>
                    <m:t>s'</m:t>
                  </m:r>
                </m:lim>
              </m:limLow>
              <m:r>
                <w:rPr>
                  <w:rFonts w:ascii="Cambria Math" w:eastAsiaTheme="minorEastAsia" w:hAnsi="Cambria Math" w:cstheme="majorHAnsi"/>
                  <w:color w:val="7030A0"/>
                </w:rPr>
                <m:t>P(</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|s,a)[R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e>
          </m:func>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for each state s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lastRenderedPageBreak/>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for each state s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2"/>
            <w:szCs w:val="22"/>
          </w:rPr>
          <m:t>if</m:t>
        </m:r>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r>
          <w:rPr>
            <w:rFonts w:ascii="Cambria Math" w:hAnsi="Cambria Math" w:cs="Courier New"/>
            <w:color w:val="8888C6"/>
            <w:sz w:val="22"/>
            <w:szCs w:val="22"/>
          </w:rPr>
          <m:t xml:space="preserve">&gt; </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r>
          <w:rPr>
            <w:rFonts w:ascii="Cambria Math" w:hAnsi="Cambria Math" w:cs="Courier New"/>
            <w:color w:val="8888C6"/>
            <w:sz w:val="22"/>
            <w:szCs w:val="22"/>
          </w:rPr>
          <m:t xml:space="preserve"> </m:t>
        </m:r>
        <m:r>
          <m:rPr>
            <m:sty m:val="bi"/>
          </m:rPr>
          <w:rPr>
            <w:rFonts w:ascii="Cambria Math" w:hAnsi="Cambria Math" w:cs="Courier New"/>
            <w:color w:val="8888C6"/>
            <w:sz w:val="22"/>
            <w:szCs w:val="22"/>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65C57096"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אבל כנראה לא צריך כי באיטרציה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C81C06"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C81C06"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C81C06"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C81C06"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C81C06"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0FE7B2B0"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1EC178D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C19D300" w14:textId="5CADC74A"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אדום </w:t>
      </w:r>
      <w:r>
        <w:rPr>
          <w:rFonts w:asciiTheme="majorHAnsi" w:eastAsiaTheme="minorEastAsia" w:hAnsiTheme="majorHAnsi" w:cstheme="majorHAnsi"/>
          <w:color w:val="FF0000"/>
          <w:rtl/>
        </w:rPr>
        <w:t>–</w:t>
      </w:r>
      <w:r>
        <w:rPr>
          <w:rFonts w:asciiTheme="majorHAnsi" w:eastAsiaTheme="minorEastAsia" w:hAnsiTheme="majorHAnsi" w:cstheme="majorHAnsi" w:hint="cs"/>
          <w:color w:val="FF0000"/>
          <w:rtl/>
        </w:rPr>
        <w:t xml:space="preserve"> לא בטוח</w:t>
      </w:r>
    </w:p>
    <w:p w14:paraId="2E288FA2" w14:textId="3B72A713"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כאשר האופק של תהליך ההחלטה הוא סופי, אז הסוכן לא יכול לבצע יותר מ2 צעדים, ואחרי 2 צעדים המשחק נגמר. במקרה הזה, הרצת האלגוריתם על הגרףמניב את אותה תוצאה שקיבלנו בסעיף הקודם. וזאת מכיוון שהיה לנו מקדם דעיכה, וה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על מעבר לצומת שהיא לא צומת סופית הוא -1. לכן העדפנו להגיע כמה שיותר מוקדם לצומת הסופית. במקרה ש </w:t>
      </w:r>
      <w:r>
        <w:rPr>
          <w:rFonts w:asciiTheme="majorHAnsi" w:eastAsiaTheme="minorEastAsia" w:hAnsiTheme="majorHAnsi" w:cstheme="majorHAnsi"/>
          <w:color w:val="FF0000"/>
        </w:rPr>
        <w:t>N = 2</w:t>
      </w:r>
      <w:r>
        <w:rPr>
          <w:rFonts w:asciiTheme="majorHAnsi" w:eastAsiaTheme="minorEastAsia" w:hAnsiTheme="majorHAnsi" w:cstheme="majorHAnsi" w:hint="cs"/>
          <w:color w:val="FF0000"/>
          <w:rtl/>
        </w:rPr>
        <w:t>, אנחנו עדיין נעדיף להגיע כמה שיותר מוקדם לצומת הסופית, ולכן אין שוני בהרצת של האלגוריתם ובתוצאות שלו.</w:t>
      </w:r>
    </w:p>
    <w:p w14:paraId="2EF82667" w14:textId="565C56C7" w:rsidR="00A42095" w:rsidRPr="00A42095" w:rsidRDefault="00A42095" w:rsidP="00A42095">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נשים לב כי הצמתים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oMath>
      <w:r>
        <w:rPr>
          <w:rFonts w:asciiTheme="majorHAnsi" w:eastAsiaTheme="minorEastAsia" w:hAnsiTheme="majorHAnsi" w:cstheme="majorHAnsi" w:hint="cs"/>
          <w:color w:val="FF0000"/>
          <w:rtl/>
        </w:rPr>
        <w:t xml:space="preserve"> לא יגיעו לצומת היעד, וזאת מכייון שהם במרחק יותר גדול מ2.</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61A495C" w14:textId="2FE55F60" w:rsidR="00A42095" w:rsidRDefault="00A42095" w:rsidP="00A4209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אני לא בטוח מה זה אומר מספר המדיניות האופטימליות.</w:t>
      </w:r>
    </w:p>
    <w:p w14:paraId="519BB2EB" w14:textId="24C39F82"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עבור צמתים שרחוקים מרחק צעד אחד מצומת היעד, יש מדיניות אופטימלית יחידה, וזאת מכיוון שתמיד נעדיף ללכת ישר לצומת היעד, אחרת לא היינו מקבלים את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עליה, אם לא הגענו אליה בצעד הראשון.</w:t>
      </w:r>
      <w:r>
        <w:rPr>
          <w:rFonts w:asciiTheme="majorHAnsi" w:eastAsiaTheme="minorEastAsia" w:hAnsiTheme="majorHAnsi" w:cstheme="majorHAnsi"/>
          <w:color w:val="FF0000"/>
          <w:rtl/>
        </w:rPr>
        <w:br/>
      </w:r>
      <w:r>
        <w:rPr>
          <w:rFonts w:asciiTheme="majorHAnsi" w:eastAsiaTheme="minorEastAsia" w:hAnsiTheme="majorHAnsi" w:cstheme="majorHAnsi" w:hint="cs"/>
          <w:color w:val="FF0000"/>
          <w:rtl/>
        </w:rPr>
        <w:t>עבור הצמתים האחרים, זה לא משנה לאן נלך,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הסופי תמיד יהיה </w:t>
      </w:r>
      <w:r>
        <w:rPr>
          <w:rFonts w:asciiTheme="majorHAnsi" w:eastAsiaTheme="minorEastAsia" w:hAnsiTheme="majorHAnsi" w:cstheme="majorHAnsi"/>
          <w:color w:val="FF0000"/>
        </w:rPr>
        <w:t>-1</w:t>
      </w:r>
      <w:r>
        <w:rPr>
          <w:rFonts w:asciiTheme="majorHAnsi" w:eastAsiaTheme="minorEastAsia" w:hAnsiTheme="majorHAnsi" w:cstheme="majorHAnsi" w:hint="cs"/>
          <w:color w:val="FF0000"/>
          <w:rtl/>
        </w:rPr>
        <w:t xml:space="preserve">. מכיוון שצמתים אלה רחוקים יותר מצעד אחד לצומת היעד, נצטרך לעבור קודם לצומת אחרת, ולקבל את ה </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שהוא </w:t>
      </w:r>
      <w:r>
        <w:rPr>
          <w:rFonts w:asciiTheme="majorHAnsi" w:eastAsiaTheme="minorEastAsia" w:hAnsiTheme="majorHAnsi" w:cstheme="majorHAnsi"/>
          <w:color w:val="FF0000"/>
        </w:rPr>
        <w:t>-1</w:t>
      </w:r>
      <w:r>
        <w:rPr>
          <w:rFonts w:asciiTheme="majorHAnsi" w:eastAsiaTheme="minorEastAsia" w:hAnsiTheme="majorHAnsi" w:cstheme="majorHAnsi" w:hint="cs"/>
          <w:color w:val="FF0000"/>
          <w:rtl/>
        </w:rPr>
        <w:t xml:space="preserve">. אחר כך, כל צעד שנעשה נקבל עליו </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0, לכן לא משנה מהו הצעד, ולכן כל צעד וא צעד אופטימלי.</w:t>
      </w:r>
    </w:p>
    <w:p w14:paraId="287C0E7E" w14:textId="2E59DF2A"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ל</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יש מדיניות אופטימלית אחת לכל אחד</w:t>
      </w:r>
    </w:p>
    <w:p w14:paraId="3300B7B0" w14:textId="76ED24AE" w:rsidR="007F4923" w:rsidRDefault="007F4923" w:rsidP="007F4923">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לצומת אחר יש מספר מדיניות אופטימליות שהוא זהה למספר הקשתות היוצאות ממנו.</w:t>
      </w:r>
      <w:r>
        <w:rPr>
          <w:rFonts w:asciiTheme="majorHAnsi" w:eastAsiaTheme="minorEastAsia" w:hAnsiTheme="majorHAnsi" w:cstheme="majorHAnsi"/>
          <w:color w:val="FF0000"/>
          <w:rtl/>
        </w:rPr>
        <w:br/>
      </w:r>
      <w:r>
        <w:rPr>
          <w:rFonts w:asciiTheme="majorHAnsi" w:eastAsiaTheme="minorEastAsia" w:hAnsiTheme="majorHAnsi" w:cstheme="majorHAnsi" w:hint="cs"/>
          <w:color w:val="FF0000"/>
          <w:rtl/>
        </w:rPr>
        <w:t>לכן בסה״כ יש לנו 13 מדיניות אופטימליות</w:t>
      </w:r>
    </w:p>
    <w:p w14:paraId="11E941A9" w14:textId="565C0DF0" w:rsidR="007F4923" w:rsidRPr="0032547B" w:rsidRDefault="007F4923" w:rsidP="007F4923">
      <w:pPr>
        <w:pStyle w:val="ListParagraph"/>
        <w:bidi/>
        <w:spacing w:after="160" w:line="360" w:lineRule="auto"/>
        <w:ind w:left="1080"/>
        <w:rPr>
          <w:rFonts w:asciiTheme="minorBidi" w:eastAsiaTheme="minorEastAsia" w:hAnsiTheme="minorBidi" w:cstheme="minorBidi"/>
          <w:b/>
          <w:bCs/>
          <w:color w:val="C00000"/>
          <w:rtl/>
        </w:rPr>
      </w:pPr>
      <w:r w:rsidRPr="0032547B">
        <w:rPr>
          <w:rFonts w:asciiTheme="minorBidi" w:eastAsiaTheme="minorEastAsia" w:hAnsiTheme="minorBidi" w:cstheme="minorBidi" w:hint="cs"/>
          <w:b/>
          <w:bCs/>
          <w:color w:val="C00000"/>
          <w:rtl/>
        </w:rPr>
        <w:t>טל יכול להיות שסתם חרטטתי ואני לא מבין מה זה אומר אבל אולי גם ככה בכל הסעיפים.</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8A04414" w14:textId="77777777" w:rsidR="006B47B9" w:rsidRDefault="00002307" w:rsidP="006B47B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004F412A" w14:textId="06FE311A" w:rsidR="00930F80" w:rsidRPr="006B47B9" w:rsidRDefault="006B47B9" w:rsidP="006B47B9">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 xml:space="preserve">עקב השינוי הנתון, כעת המדיניות עבור כל צומת שאינו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לא תשתנה. אבל המדיניות של שני צמתים אלה כן תשתנה. כעת במקום לעבור מהן לצומת היעד, נעדיף לעבור לצומת השנייה, כלומר מ</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 xml:space="preserve"> אל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2</m:t>
            </m:r>
          </m:sub>
        </m:sSub>
      </m:oMath>
      <w:r>
        <w:rPr>
          <w:rFonts w:asciiTheme="majorHAnsi" w:eastAsiaTheme="minorEastAsia" w:hAnsiTheme="majorHAnsi" w:cstheme="majorHAnsi" w:hint="cs"/>
          <w:color w:val="FF0000"/>
          <w:rtl/>
        </w:rPr>
        <w:t xml:space="preserve"> ולהיפך. וזאת מכיוון שמקדם הדעיכה שלנו הוא 1, ואין הפסד על ה</w:t>
      </w:r>
      <w:r>
        <w:rPr>
          <w:rFonts w:asciiTheme="majorHAnsi" w:eastAsiaTheme="minorEastAsia" w:hAnsiTheme="majorHAnsi" w:cstheme="majorHAnsi"/>
          <w:color w:val="FF0000"/>
        </w:rPr>
        <w:t>reward</w:t>
      </w:r>
      <w:r>
        <w:rPr>
          <w:rFonts w:asciiTheme="majorHAnsi" w:eastAsiaTheme="minorEastAsia" w:hAnsiTheme="majorHAnsi" w:cstheme="majorHAnsi" w:hint="cs"/>
          <w:color w:val="FF0000"/>
          <w:rtl/>
        </w:rPr>
        <w:t xml:space="preserve"> שמקבלים. ולכן ניתן לעבור כל הזמן בין שני הצמתים הללו ולקבל תועלת אינסופית. בנוסף, ערכי התועלת של שאר הצמתים גם ישתנו, וגם בהם נקבל </w:t>
      </w:r>
      <w:r>
        <w:rPr>
          <w:rFonts w:asciiTheme="majorHAnsi" w:eastAsiaTheme="minorEastAsia" w:hAnsiTheme="majorHAnsi" w:cstheme="majorHAnsi" w:hint="cs"/>
          <w:color w:val="FF0000"/>
          <w:rtl/>
        </w:rPr>
        <w:lastRenderedPageBreak/>
        <w:t>תועלת אינסופית.</w:t>
      </w:r>
      <w:r>
        <w:rPr>
          <w:rFonts w:asciiTheme="majorHAnsi" w:eastAsiaTheme="minorEastAsia" w:hAnsiTheme="majorHAnsi" w:cstheme="majorHAnsi"/>
          <w:rtl/>
        </w:rPr>
        <w:br/>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6C412A31">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7D882D5C">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6A4F414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7198D52">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454304BD">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3DF042E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59E193CF">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4A54" w14:textId="77777777" w:rsidR="00DE317C" w:rsidRDefault="00DE317C" w:rsidP="005427B3">
      <w:r>
        <w:separator/>
      </w:r>
    </w:p>
  </w:endnote>
  <w:endnote w:type="continuationSeparator" w:id="0">
    <w:p w14:paraId="0D9AC372" w14:textId="77777777" w:rsidR="00DE317C" w:rsidRDefault="00DE317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AB9D" w14:textId="77777777" w:rsidR="00DE317C" w:rsidRDefault="00DE317C" w:rsidP="005427B3">
      <w:r>
        <w:separator/>
      </w:r>
    </w:p>
  </w:footnote>
  <w:footnote w:type="continuationSeparator" w:id="0">
    <w:p w14:paraId="2957BADF" w14:textId="77777777" w:rsidR="00DE317C" w:rsidRDefault="00DE317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47B"/>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B47B9"/>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923"/>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0F80"/>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2095"/>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4A62"/>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17C"/>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AFE"/>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20</Pages>
  <Words>3364</Words>
  <Characters>19178</Characters>
  <Application>Microsoft Office Word</Application>
  <DocSecurity>0</DocSecurity>
  <Lines>159</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11</cp:revision>
  <cp:lastPrinted>2024-03-24T11:19:00Z</cp:lastPrinted>
  <dcterms:created xsi:type="dcterms:W3CDTF">2022-06-08T18:04:00Z</dcterms:created>
  <dcterms:modified xsi:type="dcterms:W3CDTF">2024-03-25T16:36:00Z</dcterms:modified>
</cp:coreProperties>
</file>