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  <w:rtl/>
        </w:rPr>
        <w:t xml:space="preserve">خالد العمراني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sz w:val="26"/>
          <w:szCs w:val="26"/>
          <w:rtl/>
        </w:rPr>
        <w:t xml:space="preserve">محلل ائتمان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sz w:val="20"/>
          <w:szCs w:val="20"/>
          <w:rtl/>
        </w:rPr>
        <w:t xml:space="preserve">فاس · khalid.amrani@mail.ma · 0612131415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الخبرة المهنية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2018–2025 · محلل ائتمان، البنك الشعبي، فاس: تحليل الملفات الائتمانية للشركات الصغيرة والمتوسطة، إعداد مذكرات لجنة الائتمان، تقييم الضمانات ومتابعة المخاطر.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2016–2018 · مساعد محلل مالي، بنك المغرب للتجارة الخارجية.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التكوين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ماستر في المالية والبنوك، جامعة سيدي محمد بن عبد الله (2016)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المهارات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التحليل المالي، المعيار الدولي IFRS 9، اتفاقية بازل 3، مكافحة غسل الأموال، Excel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اللغات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العربية (اللغة الأم)، الفرنسية (بطلاقة)، الإنجليزية (متوسط)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2026-10-31T15:47:20.573Z</dcterms:created>
  <dcterms:modified xsi:type="dcterms:W3CDTF">2026-10-31T15:47:20.573Z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