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left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Omar Tazi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6"/>
          <w:szCs w:val="26"/>
        </w:rPr>
        <w:t xml:space="preserve">Analyste financier junior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Tanger · omar.tazi@mail.ma · +212 6 55 44 33 22</w:t>
      </w:r>
    </w:p>
    <w:p>
      <w:pPr>
        <w:pStyle w:val="Heading2"/>
        <w:spacing w:after="120"/>
        <w:jc w:val="left"/>
      </w:pPr>
      <w:r>
        <w:rPr>
          <w:rFonts w:ascii="Calibri" w:cs="Calibri" w:eastAsia="Calibri" w:hAnsi="Calibri"/>
        </w:rPr>
        <w:t xml:space="preserve">Expérience</w:t>
      </w:r>
    </w:p>
    <w:p>
      <w:pPr>
        <w:spacing w:after="120"/>
        <w:jc w:val="left"/>
      </w:pPr>
      <w:r>
        <w:rPr>
          <w:rFonts w:ascii="Calibri" w:cs="Calibri" w:eastAsia="Calibri" w:hAnsi="Calibri"/>
        </w:rPr>
        <w:t xml:space="preserve">2024–2025 · Analyste financier junior, Société Générale Maroc : préparation des analyses financières des dossiers de crédit PME, collecte des états de synthèse.</w:t>
      </w:r>
    </w:p>
    <w:p>
      <w:pPr>
        <w:spacing w:after="120"/>
        <w:jc w:val="left"/>
      </w:pPr>
      <w:r>
        <w:rPr>
          <w:rFonts w:ascii="Calibri" w:cs="Calibri" w:eastAsia="Calibri" w:hAnsi="Calibri"/>
        </w:rPr>
        <w:t xml:space="preserve">2023 · Stage de fin d’études, Bank of Africa : analyse de risque de contrepartie.</w:t>
      </w:r>
    </w:p>
    <w:p>
      <w:pPr>
        <w:pStyle w:val="Heading2"/>
        <w:spacing w:after="120"/>
        <w:jc w:val="left"/>
      </w:pPr>
      <w:r>
        <w:rPr>
          <w:rFonts w:ascii="Calibri" w:cs="Calibri" w:eastAsia="Calibri" w:hAnsi="Calibri"/>
        </w:rPr>
        <w:t xml:space="preserve">Formation</w:t>
      </w:r>
    </w:p>
    <w:p>
      <w:pPr>
        <w:spacing w:after="120"/>
        <w:jc w:val="left"/>
      </w:pPr>
      <w:r>
        <w:rPr>
          <w:rFonts w:ascii="Calibri" w:cs="Calibri" w:eastAsia="Calibri" w:hAnsi="Calibri"/>
        </w:rPr>
        <w:t xml:space="preserve">Master Finance d’entreprise, FSJES Tanger (2023)</w:t>
      </w:r>
    </w:p>
    <w:p>
      <w:pPr>
        <w:pStyle w:val="Heading2"/>
        <w:spacing w:after="120"/>
        <w:jc w:val="left"/>
      </w:pPr>
      <w:r>
        <w:rPr>
          <w:rFonts w:ascii="Calibri" w:cs="Calibri" w:eastAsia="Calibri" w:hAnsi="Calibri"/>
        </w:rPr>
        <w:t xml:space="preserve">Compétences</w:t>
      </w:r>
    </w:p>
    <w:p>
      <w:pPr>
        <w:spacing w:after="120"/>
        <w:jc w:val="left"/>
      </w:pPr>
      <w:r>
        <w:rPr>
          <w:rFonts w:ascii="Calibri" w:cs="Calibri" w:eastAsia="Calibri" w:hAnsi="Calibri"/>
        </w:rPr>
        <w:t xml:space="preserve">Analyse financière, Excel, IFRS (bases), Python (bases)</w:t>
      </w:r>
    </w:p>
    <w:p>
      <w:pPr>
        <w:pStyle w:val="Heading2"/>
        <w:spacing w:after="120"/>
        <w:jc w:val="left"/>
      </w:pPr>
      <w:r>
        <w:rPr>
          <w:rFonts w:ascii="Calibri" w:cs="Calibri" w:eastAsia="Calibri" w:hAnsi="Calibri"/>
        </w:rPr>
        <w:t xml:space="preserve">Langues</w:t>
      </w:r>
    </w:p>
    <w:p>
      <w:pPr>
        <w:spacing w:after="120"/>
        <w:jc w:val="left"/>
      </w:pPr>
      <w:r>
        <w:rPr>
          <w:rFonts w:ascii="Calibri" w:cs="Calibri" w:eastAsia="Calibri" w:hAnsi="Calibri"/>
        </w:rPr>
        <w:t xml:space="preserve">Français (courant), Arabe (natif), Espagnol (courant)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2026-10-31T15:47:20.531Z</dcterms:created>
  <dcterms:modified xsi:type="dcterms:W3CDTF">2026-10-31T15:47:20.531Z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