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1AF5" w14:textId="69AD88FA" w:rsidR="002A6314" w:rsidRDefault="00C026F3" w:rsidP="00C026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Compliant Parallel Arm Mechanism Equipment List and 3D Printing Settings</w:t>
      </w:r>
    </w:p>
    <w:p w14:paraId="7792F182" w14:textId="6150D2E6" w:rsidR="002A6314" w:rsidRDefault="002A63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Ultimaker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Cura</w:t>
      </w:r>
      <w:proofErr w:type="spellEnd"/>
      <w:r>
        <w:rPr>
          <w:sz w:val="24"/>
          <w:szCs w:val="24"/>
        </w:rPr>
        <w:t xml:space="preserve"> </w:t>
      </w:r>
      <w:r w:rsidR="007F03EE">
        <w:rPr>
          <w:sz w:val="24"/>
          <w:szCs w:val="24"/>
        </w:rPr>
        <w:t xml:space="preserve">slicer software was used to setup the corresponding filament setting as well as slice the STL file into G-code for the 3D printer. </w:t>
      </w:r>
    </w:p>
    <w:p w14:paraId="74B7AFD9" w14:textId="340F6F27" w:rsidR="007F03EE" w:rsidRDefault="007F03EE">
      <w:pPr>
        <w:rPr>
          <w:sz w:val="24"/>
          <w:szCs w:val="24"/>
        </w:rPr>
      </w:pPr>
      <w:r>
        <w:rPr>
          <w:sz w:val="24"/>
          <w:szCs w:val="24"/>
        </w:rPr>
        <w:t xml:space="preserve">The parallel spring mechanism was 3D printed using PETG filament since it provides both flexibility and rigidity. The PETG </w:t>
      </w:r>
      <w:proofErr w:type="spellStart"/>
      <w:r>
        <w:rPr>
          <w:sz w:val="24"/>
          <w:szCs w:val="24"/>
        </w:rPr>
        <w:t>Cura</w:t>
      </w:r>
      <w:proofErr w:type="spellEnd"/>
      <w:r>
        <w:rPr>
          <w:sz w:val="24"/>
          <w:szCs w:val="24"/>
        </w:rPr>
        <w:t xml:space="preserve"> setting used to 3D printing the parallel spring mechanism is as followed:</w:t>
      </w:r>
    </w:p>
    <w:p w14:paraId="736A7272" w14:textId="4F27F951" w:rsidR="007F03EE" w:rsidRDefault="007F03EE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Quality (0.2mm)</w:t>
      </w:r>
    </w:p>
    <w:p w14:paraId="7BC150F8" w14:textId="77777777" w:rsidR="007F03EE" w:rsidRDefault="007F03EE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Infill density (40%) and infill pattern (Grid)</w:t>
      </w:r>
    </w:p>
    <w:p w14:paraId="5132F761" w14:textId="77777777" w:rsidR="007F03EE" w:rsidRDefault="007F03EE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temperature (240 C) and build plate temperature (80 C)</w:t>
      </w:r>
    </w:p>
    <w:p w14:paraId="4B948393" w14:textId="02823D27" w:rsidR="007F03EE" w:rsidRDefault="007F03EE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speed (</w:t>
      </w:r>
      <w:r w:rsidR="00C77D63">
        <w:rPr>
          <w:sz w:val="24"/>
          <w:szCs w:val="24"/>
        </w:rPr>
        <w:t>18</w:t>
      </w:r>
      <w:r>
        <w:rPr>
          <w:sz w:val="24"/>
          <w:szCs w:val="24"/>
        </w:rPr>
        <w:t xml:space="preserve">.0 mm/s) </w:t>
      </w:r>
      <w:r w:rsidR="00C77D63">
        <w:rPr>
          <w:sz w:val="24"/>
          <w:szCs w:val="24"/>
        </w:rPr>
        <w:t>and initial layer speed (15mm/s)</w:t>
      </w:r>
    </w:p>
    <w:p w14:paraId="5970AC2D" w14:textId="3D56574F" w:rsidR="00C77D63" w:rsidRDefault="00C77D63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enabled, support density (10%), and support pattern (Grid)</w:t>
      </w:r>
    </w:p>
    <w:p w14:paraId="34604C70" w14:textId="51A4D861" w:rsidR="00C77D63" w:rsidRDefault="00C77D63" w:rsidP="007F0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plate Adhesion type (Raft with 2.0mm Raft Extra Margin) (if needed)</w:t>
      </w:r>
    </w:p>
    <w:p w14:paraId="2B015989" w14:textId="1CCB11D3" w:rsidR="00C77D63" w:rsidRDefault="00C77D63" w:rsidP="00C77D63">
      <w:pPr>
        <w:rPr>
          <w:sz w:val="24"/>
          <w:szCs w:val="24"/>
        </w:rPr>
      </w:pPr>
      <w:r>
        <w:rPr>
          <w:sz w:val="24"/>
          <w:szCs w:val="24"/>
        </w:rPr>
        <w:t xml:space="preserve">Any setting not specified above was left as default. </w:t>
      </w:r>
    </w:p>
    <w:p w14:paraId="357796CE" w14:textId="47E13DCB" w:rsidR="00C77D63" w:rsidRDefault="00C77D63" w:rsidP="00C77D63">
      <w:pPr>
        <w:rPr>
          <w:sz w:val="24"/>
          <w:szCs w:val="24"/>
        </w:rPr>
      </w:pPr>
    </w:p>
    <w:p w14:paraId="418B7347" w14:textId="249D2B2D" w:rsidR="00C77D63" w:rsidRDefault="00C77D63" w:rsidP="00C77D63">
      <w:pPr>
        <w:rPr>
          <w:b/>
          <w:bCs/>
          <w:sz w:val="28"/>
          <w:szCs w:val="28"/>
        </w:rPr>
      </w:pPr>
      <w:r w:rsidRPr="002A6314">
        <w:rPr>
          <w:b/>
          <w:bCs/>
          <w:sz w:val="28"/>
          <w:szCs w:val="28"/>
        </w:rPr>
        <w:t>Parallel Spring Mechanism</w:t>
      </w:r>
      <w:r>
        <w:rPr>
          <w:b/>
          <w:bCs/>
          <w:sz w:val="28"/>
          <w:szCs w:val="28"/>
        </w:rPr>
        <w:t xml:space="preserve">-Accelerometer schematic </w:t>
      </w:r>
    </w:p>
    <w:p w14:paraId="3C8E12C6" w14:textId="17928813" w:rsidR="00C77D63" w:rsidRDefault="00C1314A" w:rsidP="00C1314A">
      <w:pPr>
        <w:jc w:val="center"/>
        <w:rPr>
          <w:b/>
          <w:bCs/>
          <w:sz w:val="28"/>
          <w:szCs w:val="28"/>
        </w:rPr>
      </w:pPr>
      <w:r w:rsidRPr="00C1314A">
        <w:rPr>
          <w:b/>
          <w:bCs/>
          <w:noProof/>
          <w:sz w:val="28"/>
          <w:szCs w:val="28"/>
        </w:rPr>
        <w:drawing>
          <wp:inline distT="0" distB="0" distL="0" distR="0" wp14:anchorId="0243039F" wp14:editId="4D10B2F5">
            <wp:extent cx="4524398" cy="2658567"/>
            <wp:effectExtent l="0" t="0" r="0" b="8890"/>
            <wp:docPr id="1" name="Picture 1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ircui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81" cy="26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294" w14:textId="27FF3CE2" w:rsidR="00630320" w:rsidRPr="00630320" w:rsidRDefault="00630320" w:rsidP="00C1314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Figure 1: </w:t>
      </w:r>
      <w:r>
        <w:rPr>
          <w:sz w:val="28"/>
          <w:szCs w:val="28"/>
        </w:rPr>
        <w:t>ADXL 3</w:t>
      </w:r>
      <w:r w:rsidR="00023C57">
        <w:rPr>
          <w:sz w:val="28"/>
          <w:szCs w:val="28"/>
        </w:rPr>
        <w:t xml:space="preserve">35 Schematic </w:t>
      </w:r>
    </w:p>
    <w:p w14:paraId="7D67475E" w14:textId="628EDEF3" w:rsidR="00C1314A" w:rsidRPr="00C1314A" w:rsidRDefault="00C1314A" w:rsidP="00C1314A">
      <w:pPr>
        <w:rPr>
          <w:sz w:val="24"/>
          <w:szCs w:val="24"/>
        </w:rPr>
      </w:pPr>
      <w:r>
        <w:rPr>
          <w:sz w:val="24"/>
          <w:szCs w:val="24"/>
        </w:rPr>
        <w:t xml:space="preserve">An ADXL </w:t>
      </w:r>
      <w:r w:rsidR="0017049E">
        <w:rPr>
          <w:sz w:val="24"/>
          <w:szCs w:val="24"/>
        </w:rPr>
        <w:t xml:space="preserve">335 was used for the parallel spring mechanism to collect the acceleration data once the mechanism is displaced. </w:t>
      </w:r>
      <w:r w:rsidR="00D80295">
        <w:rPr>
          <w:sz w:val="24"/>
          <w:szCs w:val="24"/>
        </w:rPr>
        <w:t xml:space="preserve">The pin out for the sensor is shown above in the figure </w:t>
      </w:r>
      <w:r w:rsidR="00023C57">
        <w:rPr>
          <w:sz w:val="24"/>
          <w:szCs w:val="24"/>
        </w:rPr>
        <w:t xml:space="preserve">1. </w:t>
      </w:r>
    </w:p>
    <w:p w14:paraId="270C703C" w14:textId="1633383F" w:rsidR="00C77D63" w:rsidRPr="00C77D63" w:rsidRDefault="00C77D63" w:rsidP="00C77D63">
      <w:pPr>
        <w:rPr>
          <w:sz w:val="24"/>
          <w:szCs w:val="24"/>
        </w:rPr>
      </w:pPr>
    </w:p>
    <w:sectPr w:rsidR="00C77D63" w:rsidRPr="00C7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442"/>
    <w:multiLevelType w:val="hybridMultilevel"/>
    <w:tmpl w:val="543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14"/>
    <w:rsid w:val="00023C57"/>
    <w:rsid w:val="0017049E"/>
    <w:rsid w:val="00213827"/>
    <w:rsid w:val="002A6314"/>
    <w:rsid w:val="004D788A"/>
    <w:rsid w:val="00630320"/>
    <w:rsid w:val="007F03EE"/>
    <w:rsid w:val="00C026F3"/>
    <w:rsid w:val="00C1314A"/>
    <w:rsid w:val="00C77D63"/>
    <w:rsid w:val="00D8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D361"/>
  <w15:chartTrackingRefBased/>
  <w15:docId w15:val="{7D17851B-9AB9-4005-840C-9DD4597A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Ayse Tekes</cp:lastModifiedBy>
  <cp:revision>2</cp:revision>
  <dcterms:created xsi:type="dcterms:W3CDTF">2021-11-08T17:36:00Z</dcterms:created>
  <dcterms:modified xsi:type="dcterms:W3CDTF">2021-11-08T17:36:00Z</dcterms:modified>
</cp:coreProperties>
</file>