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sz w:val="18"/>
          <w:szCs w:val="18"/>
        </w:rPr>
        <w:t xml:space="preserve"/>
      </w:r>
    </w:p>
    <w:p>
      <w:pPr>
        <w:spacing w:after="40" w:before="0"/>
      </w:pPr>
      <w:r>
        <w:rPr>
          <w:rFonts w:ascii="Arial" w:cs="Arial" w:eastAsia="Arial" w:hAnsi="Arial"/>
          <w:b/>
          <w:bCs/>
          <w:color w:val="A9720A"/>
          <w:sz w:val="68"/>
          <w:szCs w:val="68"/>
        </w:rPr>
        <w:t xml:space="preserve">SmartEdu</w:t>
      </w:r>
    </w:p>
    <w:p>
      <w:pPr>
        <w:spacing w:after="240" w:before="0"/>
      </w:pPr>
      <w:r>
        <w:rPr>
          <w:rFonts w:ascii="Arial" w:cs="Arial" w:eastAsia="Arial" w:hAnsi="Arial"/>
          <w:i/>
          <w:iCs/>
          <w:color w:val="5C6370"/>
          <w:sz w:val="24"/>
          <w:szCs w:val="24"/>
        </w:rPr>
        <w:t xml:space="preserve">Digital Course &amp; Certification Management Platform</w:t>
      </w:r>
    </w:p>
    <w:p>
      <w:pPr>
        <w:pBdr>
          <w:top w:val="single" w:color="E8A317" w:sz="18" w:space="10"/>
        </w:pBdr>
        <w:spacing w:after="200" w:before="0"/>
      </w:pPr>
      <w:r>
        <w:rPr>
          <w:sz w:val="8"/>
          <w:szCs w:val="8"/>
        </w:rPr>
        <w:t xml:space="preserve"/>
      </w:r>
    </w:p>
    <w:p>
      <w:pPr>
        <w:spacing w:after="120" w:before="0"/>
      </w:pPr>
      <w:r>
        <w:rPr>
          <w:rFonts w:ascii="Arial" w:cs="Arial" w:eastAsia="Arial" w:hAnsi="Arial"/>
          <w:b/>
          <w:bCs/>
          <w:color w:val="1F2328"/>
          <w:spacing w:val="30"/>
          <w:sz w:val="40"/>
          <w:szCs w:val="40"/>
        </w:rPr>
        <w:t xml:space="preserve">DECISION LOG</w:t>
      </w:r>
    </w:p>
    <w:p>
      <w:pPr>
        <w:spacing w:after="520" w:before="0"/>
      </w:pPr>
      <w:r>
        <w:rPr>
          <w:rFonts w:ascii="Arial" w:cs="Arial" w:eastAsia="Arial" w:hAnsi="Arial"/>
          <w:color w:val="5C6370"/>
          <w:sz w:val="20"/>
          <w:szCs w:val="20"/>
        </w:rPr>
        <w:t xml:space="preserve">Architecture &amp; Design Decision Records (ADR)  —  qərarların əsaslandırılması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DCE0E5" w:sz="2"/>
              <w:left w:val="single" w:color="E8A317" w:sz="14"/>
              <w:bottom w:val="single" w:color="DCE0E5" w:sz="2"/>
              <w:right w:val="single" w:color="DCE0E5" w:sz="2"/>
            </w:tcBorders>
            <w:shd w:fill="FDF8EE" w:color="auto" w:val="clear"/>
            <w:tcMar>
              <w:top w:type="dxa" w:w="110"/>
              <w:left w:type="dxa" w:w="160"/>
              <w:bottom w:type="dxa" w:w="110"/>
              <w:right w:type="dxa" w:w="120"/>
            </w:tcMar>
          </w:tcPr>
          <w:p>
            <w:pPr>
              <w:spacing w:after="0" w:before="0"/>
            </w:pPr>
            <w:r>
              <w:rPr>
                <w:rFonts w:ascii="Arial" w:cs="Arial" w:eastAsia="Arial" w:hAnsi="Arial"/>
                <w:b/>
                <w:bCs/>
                <w:color w:val="1F2328"/>
                <w:sz w:val="19"/>
                <w:szCs w:val="19"/>
              </w:rPr>
              <w:t xml:space="preserve">Layihə</w:t>
            </w:r>
          </w:p>
        </w:tc>
        <w:tc>
          <w:tcPr>
            <w:tcW w:type="dxa" w:w="6938"/>
            <w:tcBorders>
              <w:top w:val="single" w:color="DCE0E5" w:sz="2"/>
              <w:left w:val="single" w:color="DCE0E5" w:sz="2"/>
              <w:bottom w:val="single" w:color="DCE0E5" w:sz="2"/>
              <w:right w:val="single" w:color="DCE0E5" w:sz="2"/>
            </w:tcBorders>
            <w:tcMar>
              <w:top w:type="dxa" w:w="110"/>
              <w:left w:type="dxa" w:w="160"/>
              <w:bottom w:type="dxa" w:w="110"/>
              <w:right w:type="dxa" w:w="120"/>
            </w:tcMar>
          </w:tcPr>
          <w:p>
            <w:pPr>
              <w:spacing w:after="0" w:before="0"/>
            </w:pPr>
            <w:r>
              <w:rPr>
                <w:rFonts w:ascii="Arial" w:cs="Arial" w:eastAsia="Arial" w:hAnsi="Arial"/>
                <w:color w:val="1F2328"/>
                <w:sz w:val="19"/>
                <w:szCs w:val="19"/>
              </w:rPr>
              <w:t xml:space="preserve">SmartEdu — Digital Course &amp; Certification Management Platform</w:t>
            </w:r>
          </w:p>
        </w:tc>
      </w:tr>
      <w:tr>
        <w:tc>
          <w:tcPr>
            <w:tcW w:type="dxa" w:w="2700"/>
            <w:tcBorders>
              <w:top w:val="single" w:color="DCE0E5" w:sz="2"/>
              <w:left w:val="single" w:color="E8A317" w:sz="14"/>
              <w:bottom w:val="single" w:color="DCE0E5" w:sz="2"/>
              <w:right w:val="single" w:color="DCE0E5" w:sz="2"/>
            </w:tcBorders>
            <w:shd w:fill="FDF8EE" w:color="auto" w:val="clear"/>
            <w:tcMar>
              <w:top w:type="dxa" w:w="110"/>
              <w:left w:type="dxa" w:w="160"/>
              <w:bottom w:type="dxa" w:w="110"/>
              <w:right w:type="dxa" w:w="120"/>
            </w:tcMar>
          </w:tcPr>
          <w:p>
            <w:pPr>
              <w:spacing w:after="0" w:before="0"/>
            </w:pPr>
            <w:r>
              <w:rPr>
                <w:rFonts w:ascii="Arial" w:cs="Arial" w:eastAsia="Arial" w:hAnsi="Arial"/>
                <w:b/>
                <w:bCs/>
                <w:color w:val="1F2328"/>
                <w:sz w:val="19"/>
                <w:szCs w:val="19"/>
              </w:rPr>
              <w:t xml:space="preserve">Sənəd növü</w:t>
            </w:r>
          </w:p>
        </w:tc>
        <w:tc>
          <w:tcPr>
            <w:tcW w:type="dxa" w:w="6938"/>
            <w:tcBorders>
              <w:top w:val="single" w:color="DCE0E5" w:sz="2"/>
              <w:left w:val="single" w:color="DCE0E5" w:sz="2"/>
              <w:bottom w:val="single" w:color="DCE0E5" w:sz="2"/>
              <w:right w:val="single" w:color="DCE0E5" w:sz="2"/>
            </w:tcBorders>
            <w:tcMar>
              <w:top w:type="dxa" w:w="110"/>
              <w:left w:type="dxa" w:w="160"/>
              <w:bottom w:type="dxa" w:w="110"/>
              <w:right w:type="dxa" w:w="120"/>
            </w:tcMar>
          </w:tcPr>
          <w:p>
            <w:pPr>
              <w:spacing w:after="0" w:before="0"/>
            </w:pPr>
            <w:r>
              <w:rPr>
                <w:rFonts w:ascii="Arial" w:cs="Arial" w:eastAsia="Arial" w:hAnsi="Arial"/>
                <w:color w:val="1F2328"/>
                <w:sz w:val="19"/>
                <w:szCs w:val="19"/>
              </w:rPr>
              <w:t xml:space="preserve">Decision Log / Architecture Decision Records</w:t>
            </w:r>
          </w:p>
        </w:tc>
      </w:tr>
      <w:tr>
        <w:tc>
          <w:tcPr>
            <w:tcW w:type="dxa" w:w="2700"/>
            <w:tcBorders>
              <w:top w:val="single" w:color="DCE0E5" w:sz="2"/>
              <w:left w:val="single" w:color="E8A317" w:sz="14"/>
              <w:bottom w:val="single" w:color="DCE0E5" w:sz="2"/>
              <w:right w:val="single" w:color="DCE0E5" w:sz="2"/>
            </w:tcBorders>
            <w:shd w:fill="FDF8EE" w:color="auto" w:val="clear"/>
            <w:tcMar>
              <w:top w:type="dxa" w:w="110"/>
              <w:left w:type="dxa" w:w="160"/>
              <w:bottom w:type="dxa" w:w="110"/>
              <w:right w:type="dxa" w:w="120"/>
            </w:tcMar>
          </w:tcPr>
          <w:p>
            <w:pPr>
              <w:spacing w:after="0" w:before="0"/>
            </w:pPr>
            <w:r>
              <w:rPr>
                <w:rFonts w:ascii="Arial" w:cs="Arial" w:eastAsia="Arial" w:hAnsi="Arial"/>
                <w:b/>
                <w:bCs/>
                <w:color w:val="1F2328"/>
                <w:sz w:val="19"/>
                <w:szCs w:val="19"/>
              </w:rPr>
              <w:t xml:space="preserve">Versiya</w:t>
            </w:r>
          </w:p>
        </w:tc>
        <w:tc>
          <w:tcPr>
            <w:tcW w:type="dxa" w:w="6938"/>
            <w:tcBorders>
              <w:top w:val="single" w:color="DCE0E5" w:sz="2"/>
              <w:left w:val="single" w:color="DCE0E5" w:sz="2"/>
              <w:bottom w:val="single" w:color="DCE0E5" w:sz="2"/>
              <w:right w:val="single" w:color="DCE0E5" w:sz="2"/>
            </w:tcBorders>
            <w:tcMar>
              <w:top w:type="dxa" w:w="110"/>
              <w:left w:type="dxa" w:w="160"/>
              <w:bottom w:type="dxa" w:w="110"/>
              <w:right w:type="dxa" w:w="120"/>
            </w:tcMar>
          </w:tcPr>
          <w:p>
            <w:pPr>
              <w:spacing w:after="0" w:before="0"/>
            </w:pPr>
            <w:r>
              <w:rPr>
                <w:rFonts w:ascii="Arial" w:cs="Arial" w:eastAsia="Arial" w:hAnsi="Arial"/>
                <w:color w:val="1F2328"/>
                <w:sz w:val="19"/>
                <w:szCs w:val="19"/>
              </w:rPr>
              <w:t xml:space="preserve">1.0</w:t>
            </w:r>
          </w:p>
        </w:tc>
      </w:tr>
      <w:tr>
        <w:tc>
          <w:tcPr>
            <w:tcW w:type="dxa" w:w="2700"/>
            <w:tcBorders>
              <w:top w:val="single" w:color="DCE0E5" w:sz="2"/>
              <w:left w:val="single" w:color="E8A317" w:sz="14"/>
              <w:bottom w:val="single" w:color="DCE0E5" w:sz="2"/>
              <w:right w:val="single" w:color="DCE0E5" w:sz="2"/>
            </w:tcBorders>
            <w:shd w:fill="FDF8EE" w:color="auto" w:val="clear"/>
            <w:tcMar>
              <w:top w:type="dxa" w:w="110"/>
              <w:left w:type="dxa" w:w="160"/>
              <w:bottom w:type="dxa" w:w="110"/>
              <w:right w:type="dxa" w:w="120"/>
            </w:tcMar>
          </w:tcPr>
          <w:p>
            <w:pPr>
              <w:spacing w:after="0" w:before="0"/>
            </w:pPr>
            <w:r>
              <w:rPr>
                <w:rFonts w:ascii="Arial" w:cs="Arial" w:eastAsia="Arial" w:hAnsi="Arial"/>
                <w:b/>
                <w:bCs/>
                <w:color w:val="1F2328"/>
                <w:sz w:val="19"/>
                <w:szCs w:val="19"/>
              </w:rPr>
              <w:t xml:space="preserve">Tarix</w:t>
            </w:r>
          </w:p>
        </w:tc>
        <w:tc>
          <w:tcPr>
            <w:tcW w:type="dxa" w:w="6938"/>
            <w:tcBorders>
              <w:top w:val="single" w:color="DCE0E5" w:sz="2"/>
              <w:left w:val="single" w:color="DCE0E5" w:sz="2"/>
              <w:bottom w:val="single" w:color="DCE0E5" w:sz="2"/>
              <w:right w:val="single" w:color="DCE0E5" w:sz="2"/>
            </w:tcBorders>
            <w:tcMar>
              <w:top w:type="dxa" w:w="110"/>
              <w:left w:type="dxa" w:w="160"/>
              <w:bottom w:type="dxa" w:w="110"/>
              <w:right w:type="dxa" w:w="120"/>
            </w:tcMar>
          </w:tcPr>
          <w:p>
            <w:pPr>
              <w:spacing w:after="0" w:before="0"/>
            </w:pPr>
            <w:r>
              <w:rPr>
                <w:rFonts w:ascii="Arial" w:cs="Arial" w:eastAsia="Arial" w:hAnsi="Arial"/>
                <w:color w:val="1F2328"/>
                <w:sz w:val="19"/>
                <w:szCs w:val="19"/>
              </w:rPr>
              <w:t xml:space="preserve">Avqust 2026</w:t>
            </w:r>
          </w:p>
        </w:tc>
      </w:tr>
      <w:tr>
        <w:tc>
          <w:tcPr>
            <w:tcW w:type="dxa" w:w="2700"/>
            <w:tcBorders>
              <w:top w:val="single" w:color="DCE0E5" w:sz="2"/>
              <w:left w:val="single" w:color="E8A317" w:sz="14"/>
              <w:bottom w:val="single" w:color="DCE0E5" w:sz="2"/>
              <w:right w:val="single" w:color="DCE0E5" w:sz="2"/>
            </w:tcBorders>
            <w:shd w:fill="FDF8EE" w:color="auto" w:val="clear"/>
            <w:tcMar>
              <w:top w:type="dxa" w:w="110"/>
              <w:left w:type="dxa" w:w="160"/>
              <w:bottom w:type="dxa" w:w="110"/>
              <w:right w:type="dxa" w:w="120"/>
            </w:tcMar>
          </w:tcPr>
          <w:p>
            <w:pPr>
              <w:spacing w:after="0" w:before="0"/>
            </w:pPr>
            <w:r>
              <w:rPr>
                <w:rFonts w:ascii="Arial" w:cs="Arial" w:eastAsia="Arial" w:hAnsi="Arial"/>
                <w:b/>
                <w:bCs/>
                <w:color w:val="1F2328"/>
                <w:sz w:val="19"/>
                <w:szCs w:val="19"/>
              </w:rPr>
              <w:t xml:space="preserve">Əlaqəli sənədlər</w:t>
            </w:r>
          </w:p>
        </w:tc>
        <w:tc>
          <w:tcPr>
            <w:tcW w:type="dxa" w:w="6938"/>
            <w:tcBorders>
              <w:top w:val="single" w:color="DCE0E5" w:sz="2"/>
              <w:left w:val="single" w:color="DCE0E5" w:sz="2"/>
              <w:bottom w:val="single" w:color="DCE0E5" w:sz="2"/>
              <w:right w:val="single" w:color="DCE0E5" w:sz="2"/>
            </w:tcBorders>
            <w:tcMar>
              <w:top w:type="dxa" w:w="110"/>
              <w:left w:type="dxa" w:w="160"/>
              <w:bottom w:type="dxa" w:w="110"/>
              <w:right w:type="dxa" w:w="120"/>
            </w:tcMar>
          </w:tcPr>
          <w:p>
            <w:pPr>
              <w:spacing w:after="0" w:before="0"/>
            </w:pPr>
            <w:r>
              <w:rPr>
                <w:rFonts w:ascii="Arial" w:cs="Arial" w:eastAsia="Arial" w:hAnsi="Arial"/>
                <w:color w:val="1F2328"/>
                <w:sz w:val="19"/>
                <w:szCs w:val="19"/>
              </w:rPr>
              <w:t xml:space="preserve">SmartEdu — BRD v1.1</w:t>
            </w:r>
          </w:p>
          <w:p>
            <w:pPr>
              <w:spacing w:after="0" w:before="0"/>
            </w:pPr>
            <w:r>
              <w:rPr>
                <w:rFonts w:ascii="Arial" w:cs="Arial" w:eastAsia="Arial" w:hAnsi="Arial"/>
                <w:color w:val="1F2328"/>
                <w:sz w:val="19"/>
                <w:szCs w:val="19"/>
              </w:rPr>
              <w:t xml:space="preserve">SmartEdu — Texniki Sənəd Paketi</w:t>
            </w:r>
          </w:p>
        </w:tc>
      </w:tr>
      <w:tr>
        <w:tc>
          <w:tcPr>
            <w:tcW w:type="dxa" w:w="2700"/>
            <w:tcBorders>
              <w:top w:val="single" w:color="DCE0E5" w:sz="2"/>
              <w:left w:val="single" w:color="E8A317" w:sz="14"/>
              <w:bottom w:val="single" w:color="DCE0E5" w:sz="2"/>
              <w:right w:val="single" w:color="DCE0E5" w:sz="2"/>
            </w:tcBorders>
            <w:shd w:fill="FDF8EE" w:color="auto" w:val="clear"/>
            <w:tcMar>
              <w:top w:type="dxa" w:w="110"/>
              <w:left w:type="dxa" w:w="160"/>
              <w:bottom w:type="dxa" w:w="110"/>
              <w:right w:type="dxa" w:w="120"/>
            </w:tcMar>
          </w:tcPr>
          <w:p>
            <w:pPr>
              <w:spacing w:after="0" w:before="0"/>
            </w:pPr>
            <w:r>
              <w:rPr>
                <w:rFonts w:ascii="Arial" w:cs="Arial" w:eastAsia="Arial" w:hAnsi="Arial"/>
                <w:b/>
                <w:bCs/>
                <w:color w:val="1F2328"/>
                <w:sz w:val="19"/>
                <w:szCs w:val="19"/>
              </w:rPr>
              <w:t xml:space="preserve">Qərar sayı</w:t>
            </w:r>
          </w:p>
        </w:tc>
        <w:tc>
          <w:tcPr>
            <w:tcW w:type="dxa" w:w="6938"/>
            <w:tcBorders>
              <w:top w:val="single" w:color="DCE0E5" w:sz="2"/>
              <w:left w:val="single" w:color="DCE0E5" w:sz="2"/>
              <w:bottom w:val="single" w:color="DCE0E5" w:sz="2"/>
              <w:right w:val="single" w:color="DCE0E5" w:sz="2"/>
            </w:tcBorders>
            <w:tcMar>
              <w:top w:type="dxa" w:w="110"/>
              <w:left w:type="dxa" w:w="160"/>
              <w:bottom w:type="dxa" w:w="110"/>
              <w:right w:type="dxa" w:w="120"/>
            </w:tcMar>
          </w:tcPr>
          <w:p>
            <w:pPr>
              <w:spacing w:after="0" w:before="0"/>
            </w:pPr>
            <w:r>
              <w:rPr>
                <w:rFonts w:ascii="Arial" w:cs="Arial" w:eastAsia="Arial" w:hAnsi="Arial"/>
                <w:color w:val="1F2328"/>
                <w:sz w:val="19"/>
                <w:szCs w:val="19"/>
              </w:rPr>
              <w:t xml:space="preserve">8 qərar (DR-01 … DR-08)</w:t>
            </w:r>
          </w:p>
        </w:tc>
      </w:tr>
    </w:tbl>
    <w:p>
      <w:pPr>
        <w:spacing w:after="0" w:before="0" w:line="120" w:lineRule="auto"/>
      </w:pPr>
      <w:r>
        <w:rPr>
          <w:rFonts w:ascii="Arial" w:cs="Arial" w:eastAsia="Arial" w:hAnsi="Arial"/>
          <w:sz w:val="10"/>
          <w:szCs w:val="10"/>
        </w:rPr>
        <w:t xml:space="preserve"/>
      </w:r>
    </w:p>
    <w:p>
      <w:pPr>
        <w:spacing w:after="300" w:before="0"/>
      </w:pPr>
      <w:r>
        <w:rPr>
          <w:rFonts w:ascii="Arial" w:cs="Arial" w:eastAsia="Arial" w:hAnsi="Arial"/>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Sənədin məqsədi:</w:t>
            </w:r>
            <w:r>
              <w:rPr>
                <w:rFonts w:ascii="Arial" w:cs="Arial" w:eastAsia="Arial" w:hAnsi="Arial"/>
                <w:color w:val="1F2328"/>
                <w:sz w:val="19"/>
                <w:szCs w:val="19"/>
              </w:rPr>
              <w:t xml:space="preserve"> Bu sənəd SmartEdu layihəsində qəbul edilmiş əsas texniki və dizayn qərarlarını, baxılan alternativləri və hər seçimin trade-off-larını qeyd edir. Məqsəd qərarların hansı kontekstdə verildiyini gələcək komanda üzvləri üçün izlənilə bilən saxlamaq və eyni müzakirələrin təkrarlanmasının qarşısını almaqdır. Bütün qərarlar BRD və Texniki Sənəd Paketində sənədləşdirilmiş tələblərə istinad edir.</w:t>
            </w:r>
          </w:p>
        </w:tc>
      </w:tr>
    </w:tbl>
    <w:p>
      <w:pPr>
        <w:spacing w:after="0" w:before="0" w:line="120" w:lineRule="auto"/>
      </w:pPr>
      <w:r>
        <w:rPr>
          <w:rFonts w:ascii="Arial" w:cs="Arial" w:eastAsia="Arial" w:hAnsi="Arial"/>
          <w:sz w:val="10"/>
          <w:szCs w:val="10"/>
        </w:rPr>
        <w:t xml:space="preserve"/>
      </w:r>
    </w:p>
    <w:p>
      <w:r>
        <w:br w:type="page"/>
      </w:r>
    </w:p>
    <w:p>
      <w:pPr>
        <w:pBdr>
          <w:bottom w:val="single" w:color="E8A317" w:sz="12" w:space="6"/>
        </w:pBdr>
        <w:spacing w:after="240" w:before="0"/>
      </w:pPr>
      <w:r>
        <w:rPr>
          <w:rFonts w:ascii="Arial" w:cs="Arial" w:eastAsia="Arial" w:hAnsi="Arial"/>
          <w:b/>
          <w:bCs/>
          <w:color w:val="A9720A"/>
          <w:spacing w:val="20"/>
          <w:sz w:val="28"/>
          <w:szCs w:val="28"/>
        </w:rPr>
        <w:t xml:space="preserve">MÜNDƏRİCAT</w:t>
      </w:r>
    </w:p>
    <w:p>
      <w:pPr>
        <w:tabs>
          <w:tab w:val="right" w:pos="9638" w:leader="dot"/>
        </w:tabs>
        <w:spacing w:after="20" w:before="140" w:line="240" w:lineRule="auto"/>
        <w:ind w:left="0"/>
      </w:pPr>
      <w:r>
        <w:rPr>
          <w:rFonts w:ascii="Arial" w:cs="Arial" w:eastAsia="Arial" w:hAnsi="Arial"/>
          <w:b/>
          <w:bCs/>
          <w:color w:val="A9720A"/>
          <w:sz w:val="20"/>
          <w:szCs w:val="20"/>
        </w:rPr>
        <w:t xml:space="preserve">Sənədin oxunma qaydası</w:t>
      </w:r>
      <w:r>
        <w:rPr>
          <w:rFonts w:ascii="Arial" w:cs="Arial" w:eastAsia="Arial" w:hAnsi="Arial"/>
          <w:b/>
          <w:bCs/>
          <w:color w:val="A9720A"/>
          <w:sz w:val="18"/>
          <w:szCs w:val="18"/>
        </w:rPr>
        <w:t xml:space="preserve">	3</w:t>
      </w:r>
    </w:p>
    <w:p>
      <w:pPr>
        <w:tabs>
          <w:tab w:val="right" w:pos="9638" w:leader="dot"/>
        </w:tabs>
        <w:spacing w:after="20" w:before="140" w:line="240" w:lineRule="auto"/>
        <w:ind w:left="0"/>
      </w:pPr>
      <w:r>
        <w:rPr>
          <w:rFonts w:ascii="Arial" w:cs="Arial" w:eastAsia="Arial" w:hAnsi="Arial"/>
          <w:b/>
          <w:bCs/>
          <w:color w:val="A9720A"/>
          <w:sz w:val="20"/>
          <w:szCs w:val="20"/>
        </w:rPr>
        <w:t xml:space="preserve">DR-01 — Soft delete — resurslar fiziki silinmir</w:t>
      </w:r>
      <w:r>
        <w:rPr>
          <w:rFonts w:ascii="Arial" w:cs="Arial" w:eastAsia="Arial" w:hAnsi="Arial"/>
          <w:b/>
          <w:bCs/>
          <w:color w:val="A9720A"/>
          <w:sz w:val="18"/>
          <w:szCs w:val="18"/>
        </w:rPr>
        <w:t xml:space="preserve">	4</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DR-01.1 Kontekst</w:t>
      </w:r>
      <w:r>
        <w:rPr>
          <w:rFonts w:ascii="Arial" w:cs="Arial" w:eastAsia="Arial" w:hAnsi="Arial"/>
          <w:b w:val="false"/>
          <w:bCs w:val="false"/>
          <w:color w:val="5C6370"/>
          <w:sz w:val="18"/>
          <w:szCs w:val="18"/>
        </w:rPr>
        <w:t xml:space="preserve">	4</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DR-01.2 Baxılan variantlar</w:t>
      </w:r>
      <w:r>
        <w:rPr>
          <w:rFonts w:ascii="Arial" w:cs="Arial" w:eastAsia="Arial" w:hAnsi="Arial"/>
          <w:b w:val="false"/>
          <w:bCs w:val="false"/>
          <w:color w:val="5C6370"/>
          <w:sz w:val="18"/>
          <w:szCs w:val="18"/>
        </w:rPr>
        <w:t xml:space="preserve">	4</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DR-01.3 Qərar</w:t>
      </w:r>
      <w:r>
        <w:rPr>
          <w:rFonts w:ascii="Arial" w:cs="Arial" w:eastAsia="Arial" w:hAnsi="Arial"/>
          <w:b w:val="false"/>
          <w:bCs w:val="false"/>
          <w:color w:val="5C6370"/>
          <w:sz w:val="18"/>
          <w:szCs w:val="18"/>
        </w:rPr>
        <w:t xml:space="preserve">	4</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DR-01.4 Nəticələr və trade-off</w:t>
      </w:r>
      <w:r>
        <w:rPr>
          <w:rFonts w:ascii="Arial" w:cs="Arial" w:eastAsia="Arial" w:hAnsi="Arial"/>
          <w:b w:val="false"/>
          <w:bCs w:val="false"/>
          <w:color w:val="5C6370"/>
          <w:sz w:val="18"/>
          <w:szCs w:val="18"/>
        </w:rPr>
        <w:t xml:space="preserve">	4</w:t>
      </w:r>
    </w:p>
    <w:p>
      <w:pPr>
        <w:tabs>
          <w:tab w:val="right" w:pos="9638" w:leader="dot"/>
        </w:tabs>
        <w:spacing w:after="20" w:before="140" w:line="240" w:lineRule="auto"/>
        <w:ind w:left="0"/>
      </w:pPr>
      <w:r>
        <w:rPr>
          <w:rFonts w:ascii="Arial" w:cs="Arial" w:eastAsia="Arial" w:hAnsi="Arial"/>
          <w:b/>
          <w:bCs/>
          <w:color w:val="A9720A"/>
          <w:sz w:val="20"/>
          <w:szCs w:val="20"/>
        </w:rPr>
        <w:t xml:space="preserve">DR-02 — Authorization database səviyyəsində — Row Level Security</w:t>
      </w:r>
      <w:r>
        <w:rPr>
          <w:rFonts w:ascii="Arial" w:cs="Arial" w:eastAsia="Arial" w:hAnsi="Arial"/>
          <w:b/>
          <w:bCs/>
          <w:color w:val="A9720A"/>
          <w:sz w:val="18"/>
          <w:szCs w:val="18"/>
        </w:rPr>
        <w:t xml:space="preserve">	6</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DR-02.1 Kontekst</w:t>
      </w:r>
      <w:r>
        <w:rPr>
          <w:rFonts w:ascii="Arial" w:cs="Arial" w:eastAsia="Arial" w:hAnsi="Arial"/>
          <w:b w:val="false"/>
          <w:bCs w:val="false"/>
          <w:color w:val="5C6370"/>
          <w:sz w:val="18"/>
          <w:szCs w:val="18"/>
        </w:rPr>
        <w:t xml:space="preserve">	6</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DR-02.2 Baxılan variantlar</w:t>
      </w:r>
      <w:r>
        <w:rPr>
          <w:rFonts w:ascii="Arial" w:cs="Arial" w:eastAsia="Arial" w:hAnsi="Arial"/>
          <w:b w:val="false"/>
          <w:bCs w:val="false"/>
          <w:color w:val="5C6370"/>
          <w:sz w:val="18"/>
          <w:szCs w:val="18"/>
        </w:rPr>
        <w:t xml:space="preserve">	6</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DR-02.3 Qərar</w:t>
      </w:r>
      <w:r>
        <w:rPr>
          <w:rFonts w:ascii="Arial" w:cs="Arial" w:eastAsia="Arial" w:hAnsi="Arial"/>
          <w:b w:val="false"/>
          <w:bCs w:val="false"/>
          <w:color w:val="5C6370"/>
          <w:sz w:val="18"/>
          <w:szCs w:val="18"/>
        </w:rPr>
        <w:t xml:space="preserve">	6</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DR-02.4 Nəticələr və trade-off</w:t>
      </w:r>
      <w:r>
        <w:rPr>
          <w:rFonts w:ascii="Arial" w:cs="Arial" w:eastAsia="Arial" w:hAnsi="Arial"/>
          <w:b w:val="false"/>
          <w:bCs w:val="false"/>
          <w:color w:val="5C6370"/>
          <w:sz w:val="18"/>
          <w:szCs w:val="18"/>
        </w:rPr>
        <w:t xml:space="preserve">	6</w:t>
      </w:r>
    </w:p>
    <w:p>
      <w:pPr>
        <w:tabs>
          <w:tab w:val="right" w:pos="9638" w:leader="dot"/>
        </w:tabs>
        <w:spacing w:after="20" w:before="140" w:line="240" w:lineRule="auto"/>
        <w:ind w:left="0"/>
      </w:pPr>
      <w:r>
        <w:rPr>
          <w:rFonts w:ascii="Arial" w:cs="Arial" w:eastAsia="Arial" w:hAnsi="Arial"/>
          <w:b/>
          <w:bCs/>
          <w:color w:val="A9720A"/>
          <w:sz w:val="20"/>
          <w:szCs w:val="20"/>
        </w:rPr>
        <w:t xml:space="preserve">DR-03 — Capacity yoxlanışı tranzaksiya səviyyəsində</w:t>
      </w:r>
      <w:r>
        <w:rPr>
          <w:rFonts w:ascii="Arial" w:cs="Arial" w:eastAsia="Arial" w:hAnsi="Arial"/>
          <w:b/>
          <w:bCs/>
          <w:color w:val="A9720A"/>
          <w:sz w:val="18"/>
          <w:szCs w:val="18"/>
        </w:rPr>
        <w:t xml:space="preserve">	8</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DR-03.1 Kontekst</w:t>
      </w:r>
      <w:r>
        <w:rPr>
          <w:rFonts w:ascii="Arial" w:cs="Arial" w:eastAsia="Arial" w:hAnsi="Arial"/>
          <w:b w:val="false"/>
          <w:bCs w:val="false"/>
          <w:color w:val="5C6370"/>
          <w:sz w:val="18"/>
          <w:szCs w:val="18"/>
        </w:rPr>
        <w:t xml:space="preserve">	8</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DR-03.2 Baxılan variantlar</w:t>
      </w:r>
      <w:r>
        <w:rPr>
          <w:rFonts w:ascii="Arial" w:cs="Arial" w:eastAsia="Arial" w:hAnsi="Arial"/>
          <w:b w:val="false"/>
          <w:bCs w:val="false"/>
          <w:color w:val="5C6370"/>
          <w:sz w:val="18"/>
          <w:szCs w:val="18"/>
        </w:rPr>
        <w:t xml:space="preserve">	8</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DR-03.3 Qərar</w:t>
      </w:r>
      <w:r>
        <w:rPr>
          <w:rFonts w:ascii="Arial" w:cs="Arial" w:eastAsia="Arial" w:hAnsi="Arial"/>
          <w:b w:val="false"/>
          <w:bCs w:val="false"/>
          <w:color w:val="5C6370"/>
          <w:sz w:val="18"/>
          <w:szCs w:val="18"/>
        </w:rPr>
        <w:t xml:space="preserve">	8</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DR-03.4 Nəticələr və trade-off</w:t>
      </w:r>
      <w:r>
        <w:rPr>
          <w:rFonts w:ascii="Arial" w:cs="Arial" w:eastAsia="Arial" w:hAnsi="Arial"/>
          <w:b w:val="false"/>
          <w:bCs w:val="false"/>
          <w:color w:val="5C6370"/>
          <w:sz w:val="18"/>
          <w:szCs w:val="18"/>
        </w:rPr>
        <w:t xml:space="preserve">	8</w:t>
      </w:r>
    </w:p>
    <w:p>
      <w:pPr>
        <w:tabs>
          <w:tab w:val="right" w:pos="9638" w:leader="dot"/>
        </w:tabs>
        <w:spacing w:after="20" w:before="140" w:line="240" w:lineRule="auto"/>
        <w:ind w:left="0"/>
      </w:pPr>
      <w:r>
        <w:rPr>
          <w:rFonts w:ascii="Arial" w:cs="Arial" w:eastAsia="Arial" w:hAnsi="Arial"/>
          <w:b/>
          <w:bCs/>
          <w:color w:val="A9720A"/>
          <w:sz w:val="20"/>
          <w:szCs w:val="20"/>
        </w:rPr>
        <w:t xml:space="preserve">DR-04 — Status keçidləri üçün PATCH — PUT deyil</w:t>
      </w:r>
      <w:r>
        <w:rPr>
          <w:rFonts w:ascii="Arial" w:cs="Arial" w:eastAsia="Arial" w:hAnsi="Arial"/>
          <w:b/>
          <w:bCs/>
          <w:color w:val="A9720A"/>
          <w:sz w:val="18"/>
          <w:szCs w:val="18"/>
        </w:rPr>
        <w:t xml:space="preserve">	10</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DR-04.1 Kontekst</w:t>
      </w:r>
      <w:r>
        <w:rPr>
          <w:rFonts w:ascii="Arial" w:cs="Arial" w:eastAsia="Arial" w:hAnsi="Arial"/>
          <w:b w:val="false"/>
          <w:bCs w:val="false"/>
          <w:color w:val="5C6370"/>
          <w:sz w:val="18"/>
          <w:szCs w:val="18"/>
        </w:rPr>
        <w:t xml:space="preserve">	10</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DR-04.2 Baxılan variantlar</w:t>
      </w:r>
      <w:r>
        <w:rPr>
          <w:rFonts w:ascii="Arial" w:cs="Arial" w:eastAsia="Arial" w:hAnsi="Arial"/>
          <w:b w:val="false"/>
          <w:bCs w:val="false"/>
          <w:color w:val="5C6370"/>
          <w:sz w:val="18"/>
          <w:szCs w:val="18"/>
        </w:rPr>
        <w:t xml:space="preserve">	10</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DR-04.3 Qərar</w:t>
      </w:r>
      <w:r>
        <w:rPr>
          <w:rFonts w:ascii="Arial" w:cs="Arial" w:eastAsia="Arial" w:hAnsi="Arial"/>
          <w:b w:val="false"/>
          <w:bCs w:val="false"/>
          <w:color w:val="5C6370"/>
          <w:sz w:val="18"/>
          <w:szCs w:val="18"/>
        </w:rPr>
        <w:t xml:space="preserve">	10</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DR-04.4 Nəticələr və trade-off</w:t>
      </w:r>
      <w:r>
        <w:rPr>
          <w:rFonts w:ascii="Arial" w:cs="Arial" w:eastAsia="Arial" w:hAnsi="Arial"/>
          <w:b w:val="false"/>
          <w:bCs w:val="false"/>
          <w:color w:val="5C6370"/>
          <w:sz w:val="18"/>
          <w:szCs w:val="18"/>
        </w:rPr>
        <w:t xml:space="preserve">	10</w:t>
      </w:r>
    </w:p>
    <w:p>
      <w:pPr>
        <w:tabs>
          <w:tab w:val="right" w:pos="9638" w:leader="dot"/>
        </w:tabs>
        <w:spacing w:after="20" w:before="140" w:line="240" w:lineRule="auto"/>
        <w:ind w:left="0"/>
      </w:pPr>
      <w:r>
        <w:rPr>
          <w:rFonts w:ascii="Arial" w:cs="Arial" w:eastAsia="Arial" w:hAnsi="Arial"/>
          <w:b/>
          <w:bCs/>
          <w:color w:val="A9720A"/>
          <w:sz w:val="20"/>
          <w:szCs w:val="20"/>
        </w:rPr>
        <w:t xml:space="preserve">DR-05 — Status sahələri ENUM — boolean flag deyil</w:t>
      </w:r>
      <w:r>
        <w:rPr>
          <w:rFonts w:ascii="Arial" w:cs="Arial" w:eastAsia="Arial" w:hAnsi="Arial"/>
          <w:b/>
          <w:bCs/>
          <w:color w:val="A9720A"/>
          <w:sz w:val="18"/>
          <w:szCs w:val="18"/>
        </w:rPr>
        <w:t xml:space="preserve">	12</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DR-05.1 Kontekst</w:t>
      </w:r>
      <w:r>
        <w:rPr>
          <w:rFonts w:ascii="Arial" w:cs="Arial" w:eastAsia="Arial" w:hAnsi="Arial"/>
          <w:b w:val="false"/>
          <w:bCs w:val="false"/>
          <w:color w:val="5C6370"/>
          <w:sz w:val="18"/>
          <w:szCs w:val="18"/>
        </w:rPr>
        <w:t xml:space="preserve">	12</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DR-05.2 Baxılan variantlar</w:t>
      </w:r>
      <w:r>
        <w:rPr>
          <w:rFonts w:ascii="Arial" w:cs="Arial" w:eastAsia="Arial" w:hAnsi="Arial"/>
          <w:b w:val="false"/>
          <w:bCs w:val="false"/>
          <w:color w:val="5C6370"/>
          <w:sz w:val="18"/>
          <w:szCs w:val="18"/>
        </w:rPr>
        <w:t xml:space="preserve">	12</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DR-05.3 Qərar</w:t>
      </w:r>
      <w:r>
        <w:rPr>
          <w:rFonts w:ascii="Arial" w:cs="Arial" w:eastAsia="Arial" w:hAnsi="Arial"/>
          <w:b w:val="false"/>
          <w:bCs w:val="false"/>
          <w:color w:val="5C6370"/>
          <w:sz w:val="18"/>
          <w:szCs w:val="18"/>
        </w:rPr>
        <w:t xml:space="preserve">	12</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DR-05.4 Nəticələr və trade-off</w:t>
      </w:r>
      <w:r>
        <w:rPr>
          <w:rFonts w:ascii="Arial" w:cs="Arial" w:eastAsia="Arial" w:hAnsi="Arial"/>
          <w:b w:val="false"/>
          <w:bCs w:val="false"/>
          <w:color w:val="5C6370"/>
          <w:sz w:val="18"/>
          <w:szCs w:val="18"/>
        </w:rPr>
        <w:t xml:space="preserve">	12</w:t>
      </w:r>
    </w:p>
    <w:p>
      <w:pPr>
        <w:tabs>
          <w:tab w:val="right" w:pos="9638" w:leader="dot"/>
        </w:tabs>
        <w:spacing w:after="20" w:before="140" w:line="240" w:lineRule="auto"/>
        <w:ind w:left="0"/>
      </w:pPr>
      <w:r>
        <w:rPr>
          <w:rFonts w:ascii="Arial" w:cs="Arial" w:eastAsia="Arial" w:hAnsi="Arial"/>
          <w:b/>
          <w:bCs/>
          <w:color w:val="A9720A"/>
          <w:sz w:val="20"/>
          <w:szCs w:val="20"/>
        </w:rPr>
        <w:t xml:space="preserve">DR-06 — UUID primary key — ardıcıl tam ədəd deyil</w:t>
      </w:r>
      <w:r>
        <w:rPr>
          <w:rFonts w:ascii="Arial" w:cs="Arial" w:eastAsia="Arial" w:hAnsi="Arial"/>
          <w:b/>
          <w:bCs/>
          <w:color w:val="A9720A"/>
          <w:sz w:val="18"/>
          <w:szCs w:val="18"/>
        </w:rPr>
        <w:t xml:space="preserve">	14</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DR-06.1 Kontekst</w:t>
      </w:r>
      <w:r>
        <w:rPr>
          <w:rFonts w:ascii="Arial" w:cs="Arial" w:eastAsia="Arial" w:hAnsi="Arial"/>
          <w:b w:val="false"/>
          <w:bCs w:val="false"/>
          <w:color w:val="5C6370"/>
          <w:sz w:val="18"/>
          <w:szCs w:val="18"/>
        </w:rPr>
        <w:t xml:space="preserve">	14</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DR-06.2 Baxılan variantlar</w:t>
      </w:r>
      <w:r>
        <w:rPr>
          <w:rFonts w:ascii="Arial" w:cs="Arial" w:eastAsia="Arial" w:hAnsi="Arial"/>
          <w:b w:val="false"/>
          <w:bCs w:val="false"/>
          <w:color w:val="5C6370"/>
          <w:sz w:val="18"/>
          <w:szCs w:val="18"/>
        </w:rPr>
        <w:t xml:space="preserve">	14</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DR-06.3 Qərar</w:t>
      </w:r>
      <w:r>
        <w:rPr>
          <w:rFonts w:ascii="Arial" w:cs="Arial" w:eastAsia="Arial" w:hAnsi="Arial"/>
          <w:b w:val="false"/>
          <w:bCs w:val="false"/>
          <w:color w:val="5C6370"/>
          <w:sz w:val="18"/>
          <w:szCs w:val="18"/>
        </w:rPr>
        <w:t xml:space="preserve">	14</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DR-06.4 Nəticələr və trade-off</w:t>
      </w:r>
      <w:r>
        <w:rPr>
          <w:rFonts w:ascii="Arial" w:cs="Arial" w:eastAsia="Arial" w:hAnsi="Arial"/>
          <w:b w:val="false"/>
          <w:bCs w:val="false"/>
          <w:color w:val="5C6370"/>
          <w:sz w:val="18"/>
          <w:szCs w:val="18"/>
        </w:rPr>
        <w:t xml:space="preserve">	14</w:t>
      </w:r>
    </w:p>
    <w:p>
      <w:pPr>
        <w:tabs>
          <w:tab w:val="right" w:pos="9638" w:leader="dot"/>
        </w:tabs>
        <w:spacing w:after="20" w:before="140" w:line="240" w:lineRule="auto"/>
        <w:ind w:left="0"/>
      </w:pPr>
      <w:r>
        <w:rPr>
          <w:rFonts w:ascii="Arial" w:cs="Arial" w:eastAsia="Arial" w:hAnsi="Arial"/>
          <w:b/>
          <w:bCs/>
          <w:color w:val="A9720A"/>
          <w:sz w:val="20"/>
          <w:szCs w:val="20"/>
        </w:rPr>
        <w:t xml:space="preserve">DR-07 — Prerequisite — self-referencing FK, ayrıca cədvəl deyil</w:t>
      </w:r>
      <w:r>
        <w:rPr>
          <w:rFonts w:ascii="Arial" w:cs="Arial" w:eastAsia="Arial" w:hAnsi="Arial"/>
          <w:b/>
          <w:bCs/>
          <w:color w:val="A9720A"/>
          <w:sz w:val="18"/>
          <w:szCs w:val="18"/>
        </w:rPr>
        <w:t xml:space="preserve">	15</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DR-07.1 Kontekst</w:t>
      </w:r>
      <w:r>
        <w:rPr>
          <w:rFonts w:ascii="Arial" w:cs="Arial" w:eastAsia="Arial" w:hAnsi="Arial"/>
          <w:b w:val="false"/>
          <w:bCs w:val="false"/>
          <w:color w:val="5C6370"/>
          <w:sz w:val="18"/>
          <w:szCs w:val="18"/>
        </w:rPr>
        <w:t xml:space="preserve">	15</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DR-07.2 Baxılan variantlar</w:t>
      </w:r>
      <w:r>
        <w:rPr>
          <w:rFonts w:ascii="Arial" w:cs="Arial" w:eastAsia="Arial" w:hAnsi="Arial"/>
          <w:b w:val="false"/>
          <w:bCs w:val="false"/>
          <w:color w:val="5C6370"/>
          <w:sz w:val="18"/>
          <w:szCs w:val="18"/>
        </w:rPr>
        <w:t xml:space="preserve">	15</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DR-07.3 Qərar</w:t>
      </w:r>
      <w:r>
        <w:rPr>
          <w:rFonts w:ascii="Arial" w:cs="Arial" w:eastAsia="Arial" w:hAnsi="Arial"/>
          <w:b w:val="false"/>
          <w:bCs w:val="false"/>
          <w:color w:val="5C6370"/>
          <w:sz w:val="18"/>
          <w:szCs w:val="18"/>
        </w:rPr>
        <w:t xml:space="preserve">	15</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DR-07.4 Nəticələr və trade-off</w:t>
      </w:r>
      <w:r>
        <w:rPr>
          <w:rFonts w:ascii="Arial" w:cs="Arial" w:eastAsia="Arial" w:hAnsi="Arial"/>
          <w:b w:val="false"/>
          <w:bCs w:val="false"/>
          <w:color w:val="5C6370"/>
          <w:sz w:val="18"/>
          <w:szCs w:val="18"/>
        </w:rPr>
        <w:t xml:space="preserve">	15</w:t>
      </w:r>
    </w:p>
    <w:p>
      <w:pPr>
        <w:tabs>
          <w:tab w:val="right" w:pos="9638" w:leader="dot"/>
        </w:tabs>
        <w:spacing w:after="20" w:before="140" w:line="240" w:lineRule="auto"/>
        <w:ind w:left="0"/>
      </w:pPr>
      <w:r>
        <w:rPr>
          <w:rFonts w:ascii="Arial" w:cs="Arial" w:eastAsia="Arial" w:hAnsi="Arial"/>
          <w:b/>
          <w:bCs/>
          <w:color w:val="A9720A"/>
          <w:sz w:val="20"/>
          <w:szCs w:val="20"/>
        </w:rPr>
        <w:t xml:space="preserve">DR-08 — Certificate verification public — autentifikasiya tələb olunmur</w:t>
      </w:r>
      <w:r>
        <w:rPr>
          <w:rFonts w:ascii="Arial" w:cs="Arial" w:eastAsia="Arial" w:hAnsi="Arial"/>
          <w:b/>
          <w:bCs/>
          <w:color w:val="A9720A"/>
          <w:sz w:val="18"/>
          <w:szCs w:val="18"/>
        </w:rPr>
        <w:t xml:space="preserve">	17</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DR-08.1 Kontekst</w:t>
      </w:r>
      <w:r>
        <w:rPr>
          <w:rFonts w:ascii="Arial" w:cs="Arial" w:eastAsia="Arial" w:hAnsi="Arial"/>
          <w:b w:val="false"/>
          <w:bCs w:val="false"/>
          <w:color w:val="5C6370"/>
          <w:sz w:val="18"/>
          <w:szCs w:val="18"/>
        </w:rPr>
        <w:t xml:space="preserve">	17</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DR-08.2 Baxılan variantlar</w:t>
      </w:r>
      <w:r>
        <w:rPr>
          <w:rFonts w:ascii="Arial" w:cs="Arial" w:eastAsia="Arial" w:hAnsi="Arial"/>
          <w:b w:val="false"/>
          <w:bCs w:val="false"/>
          <w:color w:val="5C6370"/>
          <w:sz w:val="18"/>
          <w:szCs w:val="18"/>
        </w:rPr>
        <w:t xml:space="preserve">	17</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DR-08.3 Qərar</w:t>
      </w:r>
      <w:r>
        <w:rPr>
          <w:rFonts w:ascii="Arial" w:cs="Arial" w:eastAsia="Arial" w:hAnsi="Arial"/>
          <w:b w:val="false"/>
          <w:bCs w:val="false"/>
          <w:color w:val="5C6370"/>
          <w:sz w:val="18"/>
          <w:szCs w:val="18"/>
        </w:rPr>
        <w:t xml:space="preserve">	17</w:t>
      </w:r>
    </w:p>
    <w:p>
      <w:pPr>
        <w:tabs>
          <w:tab w:val="right" w:pos="9638" w:leader="dot"/>
        </w:tabs>
        <w:spacing w:after="20" w:before="20" w:line="240" w:lineRule="auto"/>
        <w:ind w:left="340"/>
      </w:pPr>
      <w:r>
        <w:rPr>
          <w:rFonts w:ascii="Arial" w:cs="Arial" w:eastAsia="Arial" w:hAnsi="Arial"/>
          <w:b w:val="false"/>
          <w:bCs w:val="false"/>
          <w:color w:val="1F2328"/>
          <w:sz w:val="18"/>
          <w:szCs w:val="18"/>
        </w:rPr>
        <w:t xml:space="preserve">DR-08.4 Nəticələr və trade-off</w:t>
      </w:r>
      <w:r>
        <w:rPr>
          <w:rFonts w:ascii="Arial" w:cs="Arial" w:eastAsia="Arial" w:hAnsi="Arial"/>
          <w:b w:val="false"/>
          <w:bCs w:val="false"/>
          <w:color w:val="5C6370"/>
          <w:sz w:val="18"/>
          <w:szCs w:val="18"/>
        </w:rPr>
        <w:t xml:space="preserve">	17</w:t>
      </w:r>
    </w:p>
    <w:p>
      <w:pPr>
        <w:tabs>
          <w:tab w:val="right" w:pos="9638" w:leader="dot"/>
        </w:tabs>
        <w:spacing w:after="20" w:before="140" w:line="240" w:lineRule="auto"/>
        <w:ind w:left="0"/>
      </w:pPr>
      <w:r>
        <w:rPr>
          <w:rFonts w:ascii="Arial" w:cs="Arial" w:eastAsia="Arial" w:hAnsi="Arial"/>
          <w:b/>
          <w:bCs/>
          <w:color w:val="A9720A"/>
          <w:sz w:val="20"/>
          <w:szCs w:val="20"/>
        </w:rPr>
        <w:t xml:space="preserve">Qərarların xülasəsi</w:t>
      </w:r>
      <w:r>
        <w:rPr>
          <w:rFonts w:ascii="Arial" w:cs="Arial" w:eastAsia="Arial" w:hAnsi="Arial"/>
          <w:b/>
          <w:bCs/>
          <w:color w:val="A9720A"/>
          <w:sz w:val="18"/>
          <w:szCs w:val="18"/>
        </w:rPr>
        <w:t xml:space="preserve">	19</w:t>
      </w:r>
    </w:p>
    <w:p>
      <w:r>
        <w:br w:type="page"/>
      </w:r>
    </w:p>
    <w:p>
      <w:pPr>
        <w:pStyle w:val="Heading1"/>
        <w:keepNext/>
        <w:pBdr>
          <w:bottom w:val="single" w:color="E8A317" w:sz="12" w:space="6"/>
        </w:pBdr>
        <w:spacing w:after="160" w:before="360"/>
      </w:pPr>
      <w:r>
        <w:rPr>
          <w:rFonts w:ascii="Arial" w:cs="Arial" w:eastAsia="Arial" w:hAnsi="Arial"/>
          <w:b/>
          <w:bCs/>
          <w:color w:val="A9720A"/>
          <w:sz w:val="30"/>
          <w:szCs w:val="30"/>
        </w:rPr>
        <w:t xml:space="preserve">Sənədin oxunma qaydası</w:t>
      </w:r>
    </w:p>
    <w:p>
      <w:pPr>
        <w:spacing w:after="120" w:before="60" w:line="276" w:lineRule="auto"/>
        <w:jc w:val="left"/>
      </w:pPr>
      <w:r>
        <w:rPr>
          <w:rFonts w:ascii="Arial" w:cs="Arial" w:eastAsia="Arial" w:hAnsi="Arial"/>
          <w:b w:val="false"/>
          <w:bCs w:val="false"/>
          <w:i w:val="false"/>
          <w:iCs w:val="false"/>
          <w:color w:val="1F2328"/>
          <w:sz w:val="20"/>
          <w:szCs w:val="20"/>
        </w:rPr>
        <w:t xml:space="preserve">Hər qərar aşağıdakı struktur üzrə sənədləşdirilib: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Bölmə</w:t>
            </w:r>
          </w:p>
        </w:tc>
        <w:tc>
          <w:tcPr>
            <w:tcW w:type="dxa" w:w="70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Nə göstərir</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Kontekst</w:t>
            </w:r>
          </w:p>
        </w:tc>
        <w:tc>
          <w:tcPr>
            <w:tcW w:type="dxa" w:w="70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Qərarı tələb edən problem və onun hansı tələbdən / biznes qaydasından irəli gəldiyi</w:t>
            </w:r>
          </w:p>
        </w:tc>
      </w:tr>
      <w:tr>
        <w:tc>
          <w:tcPr>
            <w:tcW w:type="dxa" w:w="26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Baxılan variantlar</w:t>
            </w:r>
          </w:p>
        </w:tc>
        <w:tc>
          <w:tcPr>
            <w:tcW w:type="dxa" w:w="70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Nəzərdən keçirilmiş alternativlər və hər birinin güclü / zəif tərəfi</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Qərar</w:t>
            </w:r>
          </w:p>
        </w:tc>
        <w:tc>
          <w:tcPr>
            <w:tcW w:type="dxa" w:w="70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Seçilmiş variant və seçimin əsas səbəbi</w:t>
            </w:r>
          </w:p>
        </w:tc>
      </w:tr>
      <w:tr>
        <w:tc>
          <w:tcPr>
            <w:tcW w:type="dxa" w:w="26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Nəticələr və trade-off</w:t>
            </w:r>
          </w:p>
        </w:tc>
        <w:tc>
          <w:tcPr>
            <w:tcW w:type="dxa" w:w="70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Qərarın müsbət nəticələri və qəbul edilmiş güzəştlər</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İzlənilirlik</w:t>
            </w:r>
          </w:p>
        </w:tc>
        <w:tc>
          <w:tcPr>
            <w:tcW w:type="dxa" w:w="70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Əlaqəli BR / FR / EC / TC identifikatorları</w:t>
            </w:r>
          </w:p>
        </w:tc>
      </w:tr>
    </w:tbl>
    <w:p>
      <w:pPr>
        <w:spacing w:after="0" w:before="0" w:line="120" w:lineRule="auto"/>
      </w:pPr>
      <w:r>
        <w:rPr>
          <w:rFonts w:ascii="Arial" w:cs="Arial" w:eastAsia="Arial" w:hAnsi="Arial"/>
          <w:sz w:val="10"/>
          <w:szCs w:val="10"/>
        </w:rPr>
        <w:t xml:space="preserve"/>
      </w:r>
    </w:p>
    <w:p>
      <w:pPr>
        <w:spacing w:after="160" w:before="0"/>
      </w:pPr>
      <w:r>
        <w:rPr>
          <w:rFonts w:ascii="Arial" w:cs="Arial" w:eastAsia="Arial" w:hAnsi="Arial"/>
          <w:sz w:val="18"/>
          <w:szCs w:val="18"/>
        </w:rPr>
        <w:t xml:space="preserve"/>
      </w:r>
    </w:p>
    <w:p>
      <w:pPr>
        <w:spacing w:after="40" w:before="60" w:line="276" w:lineRule="auto"/>
        <w:jc w:val="left"/>
      </w:pPr>
      <w:r>
        <w:rPr>
          <w:rFonts w:ascii="Arial" w:cs="Arial" w:eastAsia="Arial" w:hAnsi="Arial"/>
          <w:b w:val="false"/>
          <w:bCs w:val="false"/>
          <w:i w:val="false"/>
          <w:iCs w:val="false"/>
          <w:color w:val="1F2328"/>
          <w:sz w:val="20"/>
          <w:szCs w:val="20"/>
        </w:rPr>
        <w:t xml:space="preserve">Status dəyərləri: </w:t>
      </w:r>
    </w:p>
    <w:p>
      <w:pPr>
        <w:pStyle w:val="ListParagraph"/>
        <w:numPr>
          <w:ilvl w:val="0"/>
          <w:numId w:val="2"/>
        </w:numPr>
        <w:spacing w:after="80" w:before="40" w:line="276" w:lineRule="auto"/>
      </w:pPr>
      <w:r>
        <w:rPr>
          <w:rFonts w:ascii="Arial" w:cs="Arial" w:eastAsia="Arial" w:hAnsi="Arial"/>
          <w:b/>
          <w:bCs/>
          <w:i w:val="false"/>
          <w:iCs w:val="false"/>
          <w:color w:val="1F2328"/>
          <w:sz w:val="20"/>
          <w:szCs w:val="20"/>
        </w:rPr>
        <w:t xml:space="preserve">Qəbul edilib</w:t>
      </w:r>
      <w:r>
        <w:rPr>
          <w:rFonts w:ascii="Arial" w:cs="Arial" w:eastAsia="Arial" w:hAnsi="Arial"/>
          <w:b w:val="false"/>
          <w:bCs w:val="false"/>
          <w:i w:val="false"/>
          <w:iCs w:val="false"/>
          <w:color w:val="1F2328"/>
          <w:sz w:val="20"/>
          <w:szCs w:val="20"/>
        </w:rPr>
        <w:t xml:space="preserve"> — qərar tətbiq olunub və sənədlərdə əks olunub.</w:t>
      </w:r>
    </w:p>
    <w:p>
      <w:r>
        <w:br w:type="page"/>
      </w:r>
    </w:p>
    <w:p>
      <w:pPr>
        <w:pStyle w:val="Heading1"/>
        <w:keepNext/>
        <w:pBdr>
          <w:bottom w:val="single" w:color="E8A317" w:sz="12" w:space="6"/>
        </w:pBdr>
        <w:spacing w:after="160" w:before="360"/>
      </w:pPr>
      <w:r>
        <w:rPr>
          <w:rFonts w:ascii="Arial" w:cs="Arial" w:eastAsia="Arial" w:hAnsi="Arial"/>
          <w:b/>
          <w:bCs/>
          <w:color w:val="A9720A"/>
          <w:sz w:val="30"/>
          <w:szCs w:val="30"/>
        </w:rPr>
        <w:t xml:space="preserve">DR-01 — Soft delete — resurslar fiziki silinmir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Status</w:t>
            </w:r>
          </w:p>
        </w:tc>
        <w:tc>
          <w:tcPr>
            <w:tcW w:type="dxa" w:w="3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Sahə</w:t>
            </w:r>
          </w:p>
        </w:tc>
        <w:tc>
          <w:tcPr>
            <w:tcW w:type="dxa" w:w="46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Əlaqəli tələblər</w:t>
            </w:r>
          </w:p>
        </w:tc>
      </w:tr>
      <w:tr>
        <w:tc>
          <w:tcPr>
            <w:tcW w:type="dxa" w:w="2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Qəbul edilib</w:t>
            </w:r>
          </w:p>
        </w:tc>
        <w:tc>
          <w:tcPr>
            <w:tcW w:type="dxa" w:w="3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Data model / lifecycle</w:t>
            </w:r>
          </w:p>
        </w:tc>
        <w:tc>
          <w:tcPr>
            <w:tcW w:type="dxa" w:w="46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BR-005, BR-029, AC-03, FR-ADM-05</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DR-01.1 Kontekst</w:t>
      </w:r>
    </w:p>
    <w:p>
      <w:pPr>
        <w:spacing w:after="120" w:before="60" w:line="276" w:lineRule="auto"/>
        <w:jc w:val="left"/>
      </w:pPr>
      <w:r>
        <w:rPr>
          <w:rFonts w:ascii="Arial" w:cs="Arial" w:eastAsia="Arial" w:hAnsi="Arial"/>
          <w:b w:val="false"/>
          <w:bCs w:val="false"/>
          <w:i w:val="false"/>
          <w:iCs w:val="false"/>
          <w:color w:val="1F2328"/>
          <w:sz w:val="20"/>
          <w:szCs w:val="20"/>
        </w:rPr>
        <w:t xml:space="preserve">Administrator artıq istifadə olunmayan Course və deaktiv edilmiş istifadəçiləri sistemdən çıxara bilməlidir. Eyni zamanda Course-a bağlı Course Instance, Enrollment, Attendance, Assessment Result və Certificate qeydləri mövcuddur və bu qeydlər sertifikatın həqiqiliyinin sonradan yoxlanılması üçün saxlanılmalıdır.</w:t>
      </w:r>
    </w:p>
    <w:p>
      <w:pPr>
        <w:spacing w:after="120" w:before="60" w:line="276" w:lineRule="auto"/>
        <w:jc w:val="left"/>
      </w:pPr>
      <w:r>
        <w:rPr>
          <w:rFonts w:ascii="Arial" w:cs="Arial" w:eastAsia="Arial" w:hAnsi="Arial"/>
          <w:b w:val="false"/>
          <w:bCs w:val="false"/>
          <w:i w:val="false"/>
          <w:iCs w:val="false"/>
          <w:color w:val="1F2328"/>
          <w:sz w:val="20"/>
          <w:szCs w:val="20"/>
        </w:rPr>
        <w:t xml:space="preserve">Fiziki silinmə halında Certificate verification sorğusu artıq mövcud olmayan Course-a istinad edərdi və sertifikatın hansı kurs üzrə verildiyi bərpa oluna bilməzdi.</w:t>
      </w:r>
    </w:p>
    <w:p>
      <w:pPr>
        <w:pStyle w:val="Heading2"/>
        <w:keepNext/>
        <w:spacing w:after="120" w:before="300"/>
      </w:pPr>
      <w:r>
        <w:rPr>
          <w:rFonts w:ascii="Arial" w:cs="Arial" w:eastAsia="Arial" w:hAnsi="Arial"/>
          <w:b/>
          <w:bCs/>
          <w:color w:val="1F2328"/>
          <w:sz w:val="24"/>
          <w:szCs w:val="24"/>
        </w:rPr>
        <w:t xml:space="preserve">DR-01.2 Baxılan variantlar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Variant</w:t>
            </w:r>
          </w:p>
        </w:tc>
        <w:tc>
          <w:tcPr>
            <w:tcW w:type="dxa" w:w="35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Güclü tərəfi</w:t>
            </w:r>
          </w:p>
        </w:tc>
        <w:tc>
          <w:tcPr>
            <w:tcW w:type="dxa" w:w="35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Zəif tərəfi</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Fiziki silinmə (DELETE)</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Sadə tətbiq; baza kiçik qalır.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Tarixi məlumat itir; FK pozuntusu və ya cascade delete riski; verification zənciri qırılır.</w:t>
            </w:r>
          </w:p>
        </w:tc>
      </w:tr>
      <w:tr>
        <w:tc>
          <w:tcPr>
            <w:tcW w:type="dxa" w:w="26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Cascade delete</w:t>
            </w:r>
          </w:p>
        </w:tc>
        <w:tc>
          <w:tcPr>
            <w:tcW w:type="dxa" w:w="3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Referential integrity avtomatik qorunur.</w:t>
            </w:r>
          </w:p>
        </w:tc>
        <w:tc>
          <w:tcPr>
            <w:tcW w:type="dxa" w:w="35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Bir Course silindikdə bütün enrollment və sertifikatlar itir — audit tələbi ilə ziddiyyət təşkil edir.</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Soft delete — status = ARCHIVED</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Tarixi məlumat qorunur; verification işləməyə davam edir; audit izi tam qalır.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Bütün sorğularda status filtri tələb olunur; baza həcmi zamanla artır.</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DR-01.3 Qərar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Seçim:</w:t>
            </w:r>
            <w:r>
              <w:rPr>
                <w:rFonts w:ascii="Arial" w:cs="Arial" w:eastAsia="Arial" w:hAnsi="Arial"/>
                <w:color w:val="1F2328"/>
                <w:sz w:val="19"/>
                <w:szCs w:val="19"/>
              </w:rPr>
              <w:t xml:space="preserve"> Course və istifadəçilər fiziki silinmir. Course üçün status ARCHIVED, istifadəçi üçün USER.status = DISABLED dəyərinə keçirilir (BR-005, BR-029).</w:t>
            </w:r>
          </w:p>
        </w:tc>
      </w:tr>
    </w:tbl>
    <w:p>
      <w:pPr>
        <w:spacing w:after="0" w:before="0" w:line="120" w:lineRule="auto"/>
      </w:pPr>
      <w:r>
        <w:rPr>
          <w:rFonts w:ascii="Arial" w:cs="Arial" w:eastAsia="Arial" w:hAnsi="Arial"/>
          <w:sz w:val="10"/>
          <w:szCs w:val="10"/>
        </w:rPr>
        <w:t xml:space="preserve"/>
      </w:r>
    </w:p>
    <w:p>
      <w:pPr>
        <w:spacing w:after="120" w:before="0"/>
      </w:pPr>
      <w:r>
        <w:rPr>
          <w:rFonts w:ascii="Arial" w:cs="Arial" w:eastAsia="Arial" w:hAnsi="Arial"/>
          <w:sz w:val="18"/>
          <w:szCs w:val="18"/>
        </w:rPr>
        <w:t xml:space="preserve"/>
      </w:r>
    </w:p>
    <w:p>
      <w:pPr>
        <w:spacing w:after="120" w:before="60" w:line="276" w:lineRule="auto"/>
        <w:jc w:val="left"/>
      </w:pPr>
      <w:r>
        <w:rPr>
          <w:rFonts w:ascii="Arial" w:cs="Arial" w:eastAsia="Arial" w:hAnsi="Arial"/>
          <w:b w:val="false"/>
          <w:bCs w:val="false"/>
          <w:i w:val="false"/>
          <w:iCs w:val="false"/>
          <w:color w:val="1F2328"/>
          <w:sz w:val="20"/>
          <w:szCs w:val="20"/>
        </w:rPr>
        <w:t xml:space="preserve">Seçimin əsas səbəbi Certificate verification funksiyasıdır: sertifikat verildikdən sonra onun aid olduğu Course və Course Instance qeydləri sonsuz müddətə əlçatan qalmalıdır, əks halda BR-023 üzrə public verification mənasını itirir.</w:t>
      </w:r>
    </w:p>
    <w:p>
      <w:pPr>
        <w:spacing w:after="120" w:before="60" w:line="276" w:lineRule="auto"/>
        <w:jc w:val="left"/>
      </w:pPr>
      <w:r>
        <w:rPr>
          <w:rFonts w:ascii="Arial" w:cs="Arial" w:eastAsia="Arial" w:hAnsi="Arial"/>
          <w:b w:val="false"/>
          <w:bCs w:val="false"/>
          <w:i w:val="false"/>
          <w:iCs w:val="false"/>
          <w:color w:val="1F2328"/>
          <w:sz w:val="20"/>
          <w:szCs w:val="20"/>
        </w:rPr>
        <w:t xml:space="preserve">İkinci səbəb audit tələbidir — AUDIT_LOG append-only iz saxlayır, lakin silinmiş resursun özü yoxdursa, log qeydi kontekstsiz qalır.</w:t>
      </w:r>
    </w:p>
    <w:p>
      <w:pPr>
        <w:pStyle w:val="Heading2"/>
        <w:keepNext/>
        <w:spacing w:after="120" w:before="300"/>
      </w:pPr>
      <w:r>
        <w:rPr>
          <w:rFonts w:ascii="Arial" w:cs="Arial" w:eastAsia="Arial" w:hAnsi="Arial"/>
          <w:b/>
          <w:bCs/>
          <w:color w:val="1F2328"/>
          <w:sz w:val="24"/>
          <w:szCs w:val="24"/>
        </w:rPr>
        <w:t xml:space="preserve">DR-01.4 Nəticələr və trade-off</w:t>
      </w:r>
    </w:p>
    <w:p>
      <w:pPr>
        <w:keepNext/>
        <w:spacing w:after="80" w:before="220"/>
      </w:pPr>
      <w:r>
        <w:rPr>
          <w:rFonts w:ascii="Arial" w:cs="Arial" w:eastAsia="Arial" w:hAnsi="Arial"/>
          <w:b/>
          <w:bCs/>
          <w:color w:val="1F2328"/>
          <w:spacing w:val="8"/>
          <w:sz w:val="20"/>
          <w:szCs w:val="20"/>
        </w:rPr>
        <w:t xml:space="preserve">Müsbət nəticələr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Certificate verification zənciri heç bir halda qırılmır.</w:t>
      </w:r>
    </w:p>
    <w:p>
      <w:pPr>
        <w:keepNext/>
        <w:spacing w:after="80" w:before="220"/>
      </w:pPr>
      <w:r>
        <w:rPr>
          <w:rFonts w:ascii="Arial" w:cs="Arial" w:eastAsia="Arial" w:hAnsi="Arial"/>
          <w:b/>
          <w:bCs/>
          <w:color w:val="1F2328"/>
          <w:spacing w:val="8"/>
          <w:sz w:val="20"/>
          <w:szCs w:val="20"/>
        </w:rPr>
        <w:t xml:space="preserve">Qəbul edilmiş güzəştlər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Hər oxuma sorğusunda status filtri tətbiq edilməlidir; filtr unudularsa arxiv qeydləri istifadəçiyə görünə bilər.</w:t>
      </w:r>
    </w:p>
    <w:p>
      <w:pPr>
        <w:spacing w:after="120" w:before="0"/>
      </w:pPr>
      <w:r>
        <w:rPr>
          <w:rFonts w:ascii="Arial" w:cs="Arial" w:eastAsia="Arial" w:hAnsi="Arial"/>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Qeyd:</w:t>
            </w:r>
            <w:r>
              <w:rPr>
                <w:rFonts w:ascii="Arial" w:cs="Arial" w:eastAsia="Arial" w:hAnsi="Arial"/>
                <w:color w:val="1F2328"/>
                <w:sz w:val="19"/>
                <w:szCs w:val="19"/>
              </w:rPr>
              <w:t xml:space="preserve"> Bu qərar BR-004 ilə birlikdə işləyir: Course yalnız tələb olunan parametrlər təyin edildikdən sonra OPEN edilə bilər, yəni status sahəsi həm lifecycle, həm də silinmə mexanizmi kimi istifadə olunur.</w:t>
            </w:r>
          </w:p>
        </w:tc>
      </w:tr>
    </w:tbl>
    <w:p>
      <w:pPr>
        <w:spacing w:after="0" w:before="0" w:line="120" w:lineRule="auto"/>
      </w:pPr>
      <w:r>
        <w:rPr>
          <w:rFonts w:ascii="Arial" w:cs="Arial" w:eastAsia="Arial" w:hAnsi="Arial"/>
          <w:sz w:val="10"/>
          <w:szCs w:val="10"/>
        </w:rPr>
        <w:t xml:space="preserve"/>
      </w:r>
    </w:p>
    <w:p>
      <w:r>
        <w:br w:type="page"/>
      </w:r>
    </w:p>
    <w:p>
      <w:pPr>
        <w:pStyle w:val="Heading1"/>
        <w:keepNext/>
        <w:pBdr>
          <w:bottom w:val="single" w:color="E8A317" w:sz="12" w:space="6"/>
        </w:pBdr>
        <w:spacing w:after="160" w:before="360"/>
      </w:pPr>
      <w:r>
        <w:rPr>
          <w:rFonts w:ascii="Arial" w:cs="Arial" w:eastAsia="Arial" w:hAnsi="Arial"/>
          <w:b/>
          <w:bCs/>
          <w:color w:val="A9720A"/>
          <w:sz w:val="30"/>
          <w:szCs w:val="30"/>
        </w:rPr>
        <w:t xml:space="preserve">DR-02 — Authorization database səviyyəsində — Row Level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Status</w:t>
            </w:r>
          </w:p>
        </w:tc>
        <w:tc>
          <w:tcPr>
            <w:tcW w:type="dxa" w:w="3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Sahə</w:t>
            </w:r>
          </w:p>
        </w:tc>
        <w:tc>
          <w:tcPr>
            <w:tcW w:type="dxa" w:w="46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Əlaqəli tələblər</w:t>
            </w:r>
          </w:p>
        </w:tc>
      </w:tr>
      <w:tr>
        <w:tc>
          <w:tcPr>
            <w:tcW w:type="dxa" w:w="2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Qəbul edilib</w:t>
            </w:r>
          </w:p>
        </w:tc>
        <w:tc>
          <w:tcPr>
            <w:tcW w:type="dxa" w:w="3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Security / access control</w:t>
            </w:r>
          </w:p>
        </w:tc>
        <w:tc>
          <w:tcPr>
            <w:tcW w:type="dxa" w:w="46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BR-026, BR-027, FR-STU-02, FR-TCH-02, EC-06, R-04</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DR-02.1 Kontekst</w:t>
      </w:r>
    </w:p>
    <w:p>
      <w:pPr>
        <w:spacing w:after="120" w:before="60" w:line="276" w:lineRule="auto"/>
        <w:jc w:val="left"/>
      </w:pPr>
      <w:r>
        <w:rPr>
          <w:rFonts w:ascii="Arial" w:cs="Arial" w:eastAsia="Arial" w:hAnsi="Arial"/>
          <w:b w:val="false"/>
          <w:bCs w:val="false"/>
          <w:i w:val="false"/>
          <w:iCs w:val="false"/>
          <w:color w:val="1F2328"/>
          <w:sz w:val="20"/>
          <w:szCs w:val="20"/>
        </w:rPr>
        <w:t xml:space="preserve">Sistemdə üç rol var və hər rolun məlumat sərhədi fərqlidir: Student yalnız öz enrollment, attendance, result və certificate qeydlərini, Teacher yalnız ona təyin edilmiş session-ları görməlidir (BR-026, BR-027).</w:t>
      </w:r>
    </w:p>
    <w:p>
      <w:pPr>
        <w:spacing w:after="120" w:before="60" w:line="276" w:lineRule="auto"/>
        <w:jc w:val="left"/>
      </w:pPr>
      <w:r>
        <w:rPr>
          <w:rFonts w:ascii="Arial" w:cs="Arial" w:eastAsia="Arial" w:hAnsi="Arial"/>
          <w:b w:val="false"/>
          <w:bCs w:val="false"/>
          <w:i w:val="false"/>
          <w:iCs w:val="false"/>
          <w:color w:val="1F2328"/>
          <w:sz w:val="20"/>
          <w:szCs w:val="20"/>
        </w:rPr>
        <w:t xml:space="preserve">Risk registrində R-04 riski qeyd olunub: access-control qaydalarının yanlış konfiqurasiyası icazəsiz məlumatlara girişə səbəb ola bilər. Bu, layihənin ən yüksək təsirli risklərindən biridir.</w:t>
      </w:r>
    </w:p>
    <w:p>
      <w:pPr>
        <w:pStyle w:val="Heading2"/>
        <w:keepNext/>
        <w:spacing w:after="120" w:before="300"/>
      </w:pPr>
      <w:r>
        <w:rPr>
          <w:rFonts w:ascii="Arial" w:cs="Arial" w:eastAsia="Arial" w:hAnsi="Arial"/>
          <w:b/>
          <w:bCs/>
          <w:color w:val="1F2328"/>
          <w:sz w:val="24"/>
          <w:szCs w:val="24"/>
        </w:rPr>
        <w:t xml:space="preserve">DR-02.2 Baxılan variantlar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Variant</w:t>
            </w:r>
          </w:p>
        </w:tc>
        <w:tc>
          <w:tcPr>
            <w:tcW w:type="dxa" w:w="35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Güclü tərəfi</w:t>
            </w:r>
          </w:p>
        </w:tc>
        <w:tc>
          <w:tcPr>
            <w:tcW w:type="dxa" w:w="35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Zəif tərəfi</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Yalnız application-level authorization</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Tətbiqi sadədir; biznes məntiqi bir yerdə cəmlənir.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Hər yeni endpoint üçün yoxlama təkrar yazılmalıdır; bir yerdə unudulsa məlumat sızır; birbaşa DB girişi qorunmur.</w:t>
            </w:r>
          </w:p>
        </w:tc>
      </w:tr>
      <w:tr>
        <w:tc>
          <w:tcPr>
            <w:tcW w:type="dxa" w:w="26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Yalnız RLS</w:t>
            </w:r>
          </w:p>
        </w:tc>
        <w:tc>
          <w:tcPr>
            <w:tcW w:type="dxa" w:w="3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Mərkəzi və keçilməz nəzarət.</w:t>
            </w:r>
          </w:p>
        </w:tc>
        <w:tc>
          <w:tcPr>
            <w:tcW w:type="dxa" w:w="35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Mürəkkəb biznes şərtləri policy-lərdə çətin ifadə olunur; xəta mesajları istifadəçi üçün az informativdir.</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İki təbəqə — middleware + RLS</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Application təbəqəsi aydın xəta mesajı verir; RLS son müdafiə xətti kimi işləyir.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Qayda iki yerdə saxlanılır; dəyişiklik hər iki təbəqədə sinxron aparılmalıdır.</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DR-02.3 Qərar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Seçim:</w:t>
            </w:r>
            <w:r>
              <w:rPr>
                <w:rFonts w:ascii="Arial" w:cs="Arial" w:eastAsia="Arial" w:hAnsi="Arial"/>
                <w:color w:val="1F2328"/>
                <w:sz w:val="19"/>
                <w:szCs w:val="19"/>
              </w:rPr>
              <w:t xml:space="preserve"> Authorization iki təbəqədə tətbiq olunur: middleware-də token-dəki role və resource owner müqayisə edilir, database səviyyəsində isə auth.uid() əsasında RLS policy-ləri sətir səviyyəsində ownership yoxlayır.</w:t>
            </w:r>
          </w:p>
        </w:tc>
      </w:tr>
    </w:tbl>
    <w:p>
      <w:pPr>
        <w:spacing w:after="0" w:before="0" w:line="120" w:lineRule="auto"/>
      </w:pPr>
      <w:r>
        <w:rPr>
          <w:rFonts w:ascii="Arial" w:cs="Arial" w:eastAsia="Arial" w:hAnsi="Arial"/>
          <w:sz w:val="10"/>
          <w:szCs w:val="10"/>
        </w:rPr>
        <w:t xml:space="preserve"/>
      </w:r>
    </w:p>
    <w:p>
      <w:pPr>
        <w:spacing w:after="120" w:before="0"/>
      </w:pPr>
      <w:r>
        <w:rPr>
          <w:rFonts w:ascii="Arial" w:cs="Arial" w:eastAsia="Arial" w:hAnsi="Arial"/>
          <w:sz w:val="18"/>
          <w:szCs w:val="18"/>
        </w:rPr>
        <w:t xml:space="preserve"/>
      </w:r>
    </w:p>
    <w:p>
      <w:pPr>
        <w:spacing w:after="120" w:before="60" w:line="276" w:lineRule="auto"/>
        <w:jc w:val="left"/>
      </w:pPr>
      <w:r>
        <w:rPr>
          <w:rFonts w:ascii="Arial" w:cs="Arial" w:eastAsia="Arial" w:hAnsi="Arial"/>
          <w:b w:val="false"/>
          <w:bCs w:val="false"/>
          <w:i w:val="false"/>
          <w:iCs w:val="false"/>
          <w:color w:val="1F2328"/>
          <w:sz w:val="20"/>
          <w:szCs w:val="20"/>
        </w:rPr>
        <w:t xml:space="preserve">Yalnız application-level yoxlama seçilsəydi, hər yeni endpoint özü ilə birlikdə yeni sızma riski gətirərdi. RLS bu riski struktur olaraq aradan qaldırır: policy bir dəfə yazılır və bütün sorğulara şamil olunur.</w:t>
      </w:r>
    </w:p>
    <w:p>
      <w:pPr>
        <w:spacing w:after="120" w:before="60" w:line="276" w:lineRule="auto"/>
        <w:jc w:val="left"/>
      </w:pPr>
      <w:r>
        <w:rPr>
          <w:rFonts w:ascii="Arial" w:cs="Arial" w:eastAsia="Arial" w:hAnsi="Arial"/>
          <w:b w:val="false"/>
          <w:bCs w:val="false"/>
          <w:i w:val="false"/>
          <w:iCs w:val="false"/>
          <w:color w:val="1F2328"/>
          <w:sz w:val="20"/>
          <w:szCs w:val="20"/>
        </w:rPr>
        <w:t xml:space="preserve">Eyni zamanda yalnız RLS ilə kifayətlənmək istifadəçi təcrübəsini pisləşdirərdi — RLS pozuntusu 42501 kodu ilə qaytarılır və bu, son istifadəçi üçün mənalı mesaj deyil. Middleware təbəqəsi anlaşılan xəta mesajını təmin edir.</w:t>
      </w:r>
    </w:p>
    <w:p>
      <w:pPr>
        <w:pStyle w:val="Heading2"/>
        <w:keepNext/>
        <w:spacing w:after="120" w:before="300"/>
      </w:pPr>
      <w:r>
        <w:rPr>
          <w:rFonts w:ascii="Arial" w:cs="Arial" w:eastAsia="Arial" w:hAnsi="Arial"/>
          <w:b/>
          <w:bCs/>
          <w:color w:val="1F2328"/>
          <w:sz w:val="24"/>
          <w:szCs w:val="24"/>
        </w:rPr>
        <w:t xml:space="preserve">DR-02.4 Nəticələr və trade-off</w:t>
      </w:r>
    </w:p>
    <w:p>
      <w:pPr>
        <w:keepNext/>
        <w:spacing w:after="80" w:before="220"/>
      </w:pPr>
      <w:r>
        <w:rPr>
          <w:rFonts w:ascii="Arial" w:cs="Arial" w:eastAsia="Arial" w:hAnsi="Arial"/>
          <w:b/>
          <w:bCs/>
          <w:color w:val="1F2328"/>
          <w:spacing w:val="8"/>
          <w:sz w:val="20"/>
          <w:szCs w:val="20"/>
        </w:rPr>
        <w:t xml:space="preserve">Müsbət nəticələr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EC-06 ssenarisi struktur olaraq bağlanır: Teacher özgə session-a attendance daxil edə bilmir, 403 Forbidden qaytarılır.</w:t>
      </w:r>
    </w:p>
    <w:p>
      <w:pPr>
        <w:keepNext/>
        <w:spacing w:after="80" w:before="220"/>
      </w:pPr>
      <w:r>
        <w:rPr>
          <w:rFonts w:ascii="Arial" w:cs="Arial" w:eastAsia="Arial" w:hAnsi="Arial"/>
          <w:b/>
          <w:bCs/>
          <w:color w:val="1F2328"/>
          <w:spacing w:val="8"/>
          <w:sz w:val="20"/>
          <w:szCs w:val="20"/>
        </w:rPr>
        <w:t xml:space="preserve">Qəbul edilmiş güzəştlər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Eyni qayda iki yerdə saxlanılır; qayda dəyişikliyi hər iki təbəqədə eyni anda aparılmalıdır, əks halda davranış uyğunsuzluğu yaranır.</w:t>
      </w:r>
    </w:p>
    <w:p>
      <w:r>
        <w:br w:type="page"/>
      </w:r>
    </w:p>
    <w:p>
      <w:pPr>
        <w:pStyle w:val="Heading1"/>
        <w:keepNext/>
        <w:pBdr>
          <w:bottom w:val="single" w:color="E8A317" w:sz="12" w:space="6"/>
        </w:pBdr>
        <w:spacing w:after="160" w:before="360"/>
      </w:pPr>
      <w:r>
        <w:rPr>
          <w:rFonts w:ascii="Arial" w:cs="Arial" w:eastAsia="Arial" w:hAnsi="Arial"/>
          <w:b/>
          <w:bCs/>
          <w:color w:val="A9720A"/>
          <w:sz w:val="30"/>
          <w:szCs w:val="30"/>
        </w:rPr>
        <w:t xml:space="preserve">DR-03 — Capacity yoxlanışı tranzaksiya səviyyəsində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Status</w:t>
            </w:r>
          </w:p>
        </w:tc>
        <w:tc>
          <w:tcPr>
            <w:tcW w:type="dxa" w:w="3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Sahə</w:t>
            </w:r>
          </w:p>
        </w:tc>
        <w:tc>
          <w:tcPr>
            <w:tcW w:type="dxa" w:w="46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Əlaqəli tələblər</w:t>
            </w:r>
          </w:p>
        </w:tc>
      </w:tr>
      <w:tr>
        <w:tc>
          <w:tcPr>
            <w:tcW w:type="dxa" w:w="2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Qəbul edilib</w:t>
            </w:r>
          </w:p>
        </w:tc>
        <w:tc>
          <w:tcPr>
            <w:tcW w:type="dxa" w:w="3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Concurrency / data integrity</w:t>
            </w:r>
          </w:p>
        </w:tc>
        <w:tc>
          <w:tcPr>
            <w:tcW w:type="dxa" w:w="46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BR-007, BR-008, EC-01, EC-02, TC-13, R-02</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DR-03.1 Kontekst</w:t>
      </w:r>
    </w:p>
    <w:p>
      <w:pPr>
        <w:spacing w:after="120" w:before="60" w:line="276" w:lineRule="auto"/>
        <w:jc w:val="left"/>
      </w:pPr>
      <w:r>
        <w:rPr>
          <w:rFonts w:ascii="Arial" w:cs="Arial" w:eastAsia="Arial" w:hAnsi="Arial"/>
          <w:b w:val="false"/>
          <w:bCs w:val="false"/>
          <w:i w:val="false"/>
          <w:iCs w:val="false"/>
          <w:color w:val="1F2328"/>
          <w:sz w:val="20"/>
          <w:szCs w:val="20"/>
        </w:rPr>
        <w:t xml:space="preserve">BR-007 qaydasına görə ACTIVE enrollment sayı Course Instance capacity dəyərini keçə bilməz. EC-01 ssenarisi konkret riski təsvir edir: iki Student eyni anda son boş yerə enrollment sorğusu göndərir.</w:t>
      </w:r>
    </w:p>
    <w:p>
      <w:pPr>
        <w:spacing w:after="120" w:before="60" w:line="276" w:lineRule="auto"/>
        <w:jc w:val="left"/>
      </w:pPr>
      <w:r>
        <w:rPr>
          <w:rFonts w:ascii="Arial" w:cs="Arial" w:eastAsia="Arial" w:hAnsi="Arial"/>
          <w:b w:val="false"/>
          <w:bCs w:val="false"/>
          <w:i w:val="false"/>
          <w:iCs w:val="false"/>
          <w:color w:val="1F2328"/>
          <w:sz w:val="20"/>
          <w:szCs w:val="20"/>
        </w:rPr>
        <w:t xml:space="preserve">Risk registrində R-02 riski məhz bunu qeyd edir — paralel sorğular capacity limitinin aşılmasına səbəb ola bilər; təsiri yüksək, ehtimalı orta qiymətləndirilib.</w:t>
      </w:r>
    </w:p>
    <w:p>
      <w:pPr>
        <w:pStyle w:val="Heading2"/>
        <w:keepNext/>
        <w:spacing w:after="120" w:before="300"/>
      </w:pPr>
      <w:r>
        <w:rPr>
          <w:rFonts w:ascii="Arial" w:cs="Arial" w:eastAsia="Arial" w:hAnsi="Arial"/>
          <w:b/>
          <w:bCs/>
          <w:color w:val="1F2328"/>
          <w:sz w:val="24"/>
          <w:szCs w:val="24"/>
        </w:rPr>
        <w:t xml:space="preserve">DR-03.2 Baxılan variantlar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Variant</w:t>
            </w:r>
          </w:p>
        </w:tc>
        <w:tc>
          <w:tcPr>
            <w:tcW w:type="dxa" w:w="35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Güclü tərəfi</w:t>
            </w:r>
          </w:p>
        </w:tc>
        <w:tc>
          <w:tcPr>
            <w:tcW w:type="dxa" w:w="35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Zəif tərəfi</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Application-level yoxlama (oxu, sonra yaz)</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Sadə və oxunaqlı kod.</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Klassik race condition: iki paralel sorğu eyni anda “boş yer var” nəticəsi alır və capacity aşılır.</w:t>
            </w:r>
          </w:p>
        </w:tc>
      </w:tr>
      <w:tr>
        <w:tc>
          <w:tcPr>
            <w:tcW w:type="dxa" w:w="26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Optimistic locking (version sahəsi)</w:t>
            </w:r>
          </w:p>
        </w:tc>
        <w:tc>
          <w:tcPr>
            <w:tcW w:type="dxa" w:w="3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Kilidləmə olmadan işləyir.</w:t>
            </w:r>
          </w:p>
        </w:tc>
        <w:tc>
          <w:tcPr>
            <w:tcW w:type="dxa" w:w="35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Konflikt halında sorğu təkrarlanmalıdır; istifadəçi üçün əlavə gözləmə yaranır.</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Atomik tranzaksiya + database constraint</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Race condition struktur olaraq mümkün deyil; qayda tətbiq təbəqəsindən asılı olmur.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Yüksək yükdə kilid gözləməsi yarana bilər; xəta mesajı DB kodu formasında gəlir.</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DR-03.3 Qərar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Seçim:</w:t>
            </w:r>
            <w:r>
              <w:rPr>
                <w:rFonts w:ascii="Arial" w:cs="Arial" w:eastAsia="Arial" w:hAnsi="Arial"/>
                <w:color w:val="1F2328"/>
                <w:sz w:val="19"/>
                <w:szCs w:val="19"/>
              </w:rPr>
              <w:t xml:space="preserve"> Capacity yoxlanışı və enrollment yaradılması atomik tranzaksiya daxilində icra edilir; duplicate enrollment isə uq_active_enrollment unique constraint ilə database səviyyəsində bloklanır.</w:t>
            </w:r>
          </w:p>
        </w:tc>
      </w:tr>
    </w:tbl>
    <w:p>
      <w:pPr>
        <w:spacing w:after="0" w:before="0" w:line="120" w:lineRule="auto"/>
      </w:pPr>
      <w:r>
        <w:rPr>
          <w:rFonts w:ascii="Arial" w:cs="Arial" w:eastAsia="Arial" w:hAnsi="Arial"/>
          <w:sz w:val="10"/>
          <w:szCs w:val="10"/>
        </w:rPr>
        <w:t xml:space="preserve"/>
      </w:r>
    </w:p>
    <w:p>
      <w:pPr>
        <w:spacing w:after="120" w:before="0"/>
      </w:pPr>
      <w:r>
        <w:rPr>
          <w:rFonts w:ascii="Arial" w:cs="Arial" w:eastAsia="Arial" w:hAnsi="Arial"/>
          <w:sz w:val="18"/>
          <w:szCs w:val="18"/>
        </w:rPr>
        <w:t xml:space="preserve"/>
      </w:r>
    </w:p>
    <w:p>
      <w:pPr>
        <w:spacing w:after="120" w:before="60" w:line="276" w:lineRule="auto"/>
        <w:jc w:val="left"/>
      </w:pPr>
      <w:r>
        <w:rPr>
          <w:rFonts w:ascii="Arial" w:cs="Arial" w:eastAsia="Arial" w:hAnsi="Arial"/>
          <w:b w:val="false"/>
          <w:bCs w:val="false"/>
          <w:i w:val="false"/>
          <w:iCs w:val="false"/>
          <w:color w:val="1F2328"/>
          <w:sz w:val="20"/>
          <w:szCs w:val="20"/>
        </w:rPr>
        <w:t xml:space="preserve">Bu qərarın əsasında sadə prinsip dayanır: bütövlüyü qoruyan qayda məlumatın özünə ən yaxın təbəqədə tətbiq olunmalıdır. Tətbiq təbəqəsində yazılan yoxlama yalnız həmin kod yolundan keçən sorğuları qoruyur; database constraint isə bütün giriş yollarını qoruyur.</w:t>
      </w:r>
    </w:p>
    <w:p>
      <w:pPr>
        <w:spacing w:after="120" w:before="60" w:line="276" w:lineRule="auto"/>
        <w:jc w:val="left"/>
      </w:pPr>
      <w:r>
        <w:rPr>
          <w:rFonts w:ascii="Arial" w:cs="Arial" w:eastAsia="Arial" w:hAnsi="Arial"/>
          <w:b w:val="false"/>
          <w:bCs w:val="false"/>
          <w:i w:val="false"/>
          <w:iCs w:val="false"/>
          <w:color w:val="1F2328"/>
          <w:sz w:val="20"/>
          <w:szCs w:val="20"/>
        </w:rPr>
        <w:t xml:space="preserve">Nəticə real test ilə təsdiqlənib: eyni Student eyni Course Instance üçün ikinci ACTIVE enrollment yaratmağa çalışdıqda PostgreSQL 23505 kodu ilə uq_active_enrollment constraint pozuntusu qaytarır və API 409 Conflict verir.</w:t>
      </w:r>
    </w:p>
    <w:p>
      <w:pPr>
        <w:pStyle w:val="Heading2"/>
        <w:keepNext/>
        <w:spacing w:after="120" w:before="300"/>
      </w:pPr>
      <w:r>
        <w:rPr>
          <w:rFonts w:ascii="Arial" w:cs="Arial" w:eastAsia="Arial" w:hAnsi="Arial"/>
          <w:b/>
          <w:bCs/>
          <w:color w:val="1F2328"/>
          <w:sz w:val="24"/>
          <w:szCs w:val="24"/>
        </w:rPr>
        <w:t xml:space="preserve">DR-03.4 Nəticələr və trade-off</w:t>
      </w:r>
    </w:p>
    <w:p>
      <w:pPr>
        <w:keepNext/>
        <w:spacing w:after="80" w:before="220"/>
      </w:pPr>
      <w:r>
        <w:rPr>
          <w:rFonts w:ascii="Arial" w:cs="Arial" w:eastAsia="Arial" w:hAnsi="Arial"/>
          <w:b/>
          <w:bCs/>
          <w:color w:val="1F2328"/>
          <w:spacing w:val="8"/>
          <w:sz w:val="20"/>
          <w:szCs w:val="20"/>
        </w:rPr>
        <w:t xml:space="preserve">Müsbət nəticələr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EC-01 və EC-02 ssenariləri kod dəyişikliyi olmadan bağlanır.</w:t>
      </w:r>
    </w:p>
    <w:p>
      <w:pPr>
        <w:keepNext/>
        <w:spacing w:after="80" w:before="220"/>
      </w:pPr>
      <w:r>
        <w:rPr>
          <w:rFonts w:ascii="Arial" w:cs="Arial" w:eastAsia="Arial" w:hAnsi="Arial"/>
          <w:b/>
          <w:bCs/>
          <w:color w:val="1F2328"/>
          <w:spacing w:val="8"/>
          <w:sz w:val="20"/>
          <w:szCs w:val="20"/>
        </w:rPr>
        <w:t xml:space="preserve">Qəbul edilmiş güzəştlər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Xəta database kodu formasında (23505) qayıdır; API təbəqəsi bunu istifadəçi üçün anlaşılan mesaja çevirməlidir.</w:t>
      </w:r>
    </w:p>
    <w:p>
      <w:r>
        <w:br w:type="page"/>
      </w:r>
    </w:p>
    <w:p>
      <w:pPr>
        <w:pStyle w:val="Heading1"/>
        <w:keepNext/>
        <w:pBdr>
          <w:bottom w:val="single" w:color="E8A317" w:sz="12" w:space="6"/>
        </w:pBdr>
        <w:spacing w:after="160" w:before="360"/>
      </w:pPr>
      <w:r>
        <w:rPr>
          <w:rFonts w:ascii="Arial" w:cs="Arial" w:eastAsia="Arial" w:hAnsi="Arial"/>
          <w:b/>
          <w:bCs/>
          <w:color w:val="A9720A"/>
          <w:sz w:val="30"/>
          <w:szCs w:val="30"/>
        </w:rPr>
        <w:t xml:space="preserve">DR-04 — Status keçidləri üçün PATCH — PUT deyil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Status</w:t>
            </w:r>
          </w:p>
        </w:tc>
        <w:tc>
          <w:tcPr>
            <w:tcW w:type="dxa" w:w="3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Sahə</w:t>
            </w:r>
          </w:p>
        </w:tc>
        <w:tc>
          <w:tcPr>
            <w:tcW w:type="dxa" w:w="46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Əlaqəli tələblər</w:t>
            </w:r>
          </w:p>
        </w:tc>
      </w:tr>
      <w:tr>
        <w:tc>
          <w:tcPr>
            <w:tcW w:type="dxa" w:w="2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Qəbul edilib</w:t>
            </w:r>
          </w:p>
        </w:tc>
        <w:tc>
          <w:tcPr>
            <w:tcW w:type="dxa" w:w="3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API design</w:t>
            </w:r>
          </w:p>
        </w:tc>
        <w:tc>
          <w:tcPr>
            <w:tcW w:type="dxa" w:w="46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BR-005, BR-010, BR-024, FR-ADM-06</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DR-04.1 Kontekst</w:t>
      </w:r>
    </w:p>
    <w:p>
      <w:pPr>
        <w:spacing w:after="120" w:before="60" w:line="276" w:lineRule="auto"/>
        <w:jc w:val="left"/>
      </w:pPr>
      <w:r>
        <w:rPr>
          <w:rFonts w:ascii="Arial" w:cs="Arial" w:eastAsia="Arial" w:hAnsi="Arial"/>
          <w:b w:val="false"/>
          <w:bCs w:val="false"/>
          <w:i w:val="false"/>
          <w:iCs w:val="false"/>
          <w:color w:val="1F2328"/>
          <w:sz w:val="20"/>
          <w:szCs w:val="20"/>
        </w:rPr>
        <w:t xml:space="preserve">Enrollment-in ləğvi (BR-010), Course-un ARCHIVED edilməsi (BR-005) və Certificate-in REVOKED edilməsi (BR-024) resursun yalnız status sahəsini dəyişir; qalan sahələr toxunulmaz qalır.</w:t>
      </w:r>
    </w:p>
    <w:p>
      <w:pPr>
        <w:spacing w:after="120" w:before="60" w:line="276" w:lineRule="auto"/>
        <w:jc w:val="left"/>
      </w:pPr>
      <w:r>
        <w:rPr>
          <w:rFonts w:ascii="Arial" w:cs="Arial" w:eastAsia="Arial" w:hAnsi="Arial"/>
          <w:b w:val="false"/>
          <w:bCs w:val="false"/>
          <w:i w:val="false"/>
          <w:iCs w:val="false"/>
          <w:color w:val="1F2328"/>
          <w:sz w:val="20"/>
          <w:szCs w:val="20"/>
        </w:rPr>
        <w:t xml:space="preserve">HTTP metod seçimi API sənədində əsaslandırılmalı olan tipik sualdır və resursun bütövlüyünə birbaşa təsir edir.</w:t>
      </w:r>
    </w:p>
    <w:p>
      <w:pPr>
        <w:pStyle w:val="Heading2"/>
        <w:keepNext/>
        <w:spacing w:after="120" w:before="300"/>
      </w:pPr>
      <w:r>
        <w:rPr>
          <w:rFonts w:ascii="Arial" w:cs="Arial" w:eastAsia="Arial" w:hAnsi="Arial"/>
          <w:b/>
          <w:bCs/>
          <w:color w:val="1F2328"/>
          <w:sz w:val="24"/>
          <w:szCs w:val="24"/>
        </w:rPr>
        <w:t xml:space="preserve">DR-04.2 Baxılan variantlar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Variant</w:t>
            </w:r>
          </w:p>
        </w:tc>
        <w:tc>
          <w:tcPr>
            <w:tcW w:type="dxa" w:w="35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Güclü tərəfi</w:t>
            </w:r>
          </w:p>
        </w:tc>
        <w:tc>
          <w:tcPr>
            <w:tcW w:type="dxa" w:w="35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Zəif tərəfi</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PUT — tam resurs əvəzlənməsi</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Semantikası sadədir; idempotentdir.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Client bütün sahələri göndərməlidir; göndərilməyən sahə itə bilər; paralel yeniləmələrdə məlumat üzərinə yazılır.</w:t>
            </w:r>
          </w:p>
        </w:tc>
      </w:tr>
      <w:tr>
        <w:tc>
          <w:tcPr>
            <w:tcW w:type="dxa" w:w="26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POST — ayrıca action endpoint</w:t>
            </w:r>
          </w:p>
        </w:tc>
        <w:tc>
          <w:tcPr>
            <w:tcW w:type="dxa" w:w="3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Əməliyyat adı açıq görünür (məsələn /enrollments/{id}/cancel).</w:t>
            </w:r>
          </w:p>
        </w:tc>
        <w:tc>
          <w:tcPr>
            <w:tcW w:type="dxa" w:w="35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REST resurs modelindən kənara çıxır; hər status keçidi üçün yeni endpoint tələb olunur.</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PATCH — qismən yeniləmə</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Yalnız dəyişən sahə göndərilir; digər sahələr qorunur; mövcud endpoint strukturu saxlanılır.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Hansı sahələrin dəyişdirilə biləcəyi ayrıca validasiya ilə məhdudlaşdırılmalıdır.</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DR-04.3 Qərar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Seçim:</w:t>
            </w:r>
            <w:r>
              <w:rPr>
                <w:rFonts w:ascii="Arial" w:cs="Arial" w:eastAsia="Arial" w:hAnsi="Arial"/>
                <w:color w:val="1F2328"/>
                <w:sz w:val="19"/>
                <w:szCs w:val="19"/>
              </w:rPr>
              <w:t xml:space="preserve"> Status keçidləri PATCH metodu ilə həyata keçirilir: PATCH /enrollments?id=eq.{enrollmentId}, PATCH /courses?id=eq.{courseId}.</w:t>
            </w:r>
          </w:p>
        </w:tc>
      </w:tr>
    </w:tbl>
    <w:p>
      <w:pPr>
        <w:spacing w:after="0" w:before="0" w:line="120" w:lineRule="auto"/>
      </w:pPr>
      <w:r>
        <w:rPr>
          <w:rFonts w:ascii="Arial" w:cs="Arial" w:eastAsia="Arial" w:hAnsi="Arial"/>
          <w:sz w:val="10"/>
          <w:szCs w:val="10"/>
        </w:rPr>
        <w:t xml:space="preserve"/>
      </w:r>
    </w:p>
    <w:p>
      <w:pPr>
        <w:spacing w:after="120" w:before="0"/>
      </w:pPr>
      <w:r>
        <w:rPr>
          <w:rFonts w:ascii="Arial" w:cs="Arial" w:eastAsia="Arial" w:hAnsi="Arial"/>
          <w:sz w:val="18"/>
          <w:szCs w:val="18"/>
        </w:rPr>
        <w:t xml:space="preserve"/>
      </w:r>
    </w:p>
    <w:p>
      <w:pPr>
        <w:spacing w:after="120" w:before="60" w:line="276" w:lineRule="auto"/>
        <w:jc w:val="left"/>
      </w:pPr>
      <w:r>
        <w:rPr>
          <w:rFonts w:ascii="Arial" w:cs="Arial" w:eastAsia="Arial" w:hAnsi="Arial"/>
          <w:b w:val="false"/>
          <w:bCs w:val="false"/>
          <w:i w:val="false"/>
          <w:iCs w:val="false"/>
          <w:color w:val="1F2328"/>
          <w:sz w:val="20"/>
          <w:szCs w:val="20"/>
        </w:rPr>
        <w:t xml:space="preserve">PUT seçilsəydi, client hər status dəyişikliyində resursun bütün sahələrini göndərməli olardı. Bu, enrollment_date və ya cancelled_at kimi sahələrin təsadüfən üzərinə yazılması riskini yaradır.</w:t>
      </w:r>
    </w:p>
    <w:p>
      <w:pPr>
        <w:spacing w:after="120" w:before="60" w:line="276" w:lineRule="auto"/>
        <w:jc w:val="left"/>
      </w:pPr>
      <w:r>
        <w:rPr>
          <w:rFonts w:ascii="Arial" w:cs="Arial" w:eastAsia="Arial" w:hAnsi="Arial"/>
          <w:b w:val="false"/>
          <w:bCs w:val="false"/>
          <w:i w:val="false"/>
          <w:iCs w:val="false"/>
          <w:color w:val="1F2328"/>
          <w:sz w:val="20"/>
          <w:szCs w:val="20"/>
        </w:rPr>
        <w:t xml:space="preserve">PATCH həm də paralel yeniləmə riskini azaldır: iki fərqli əməliyyat eyni resursun fərqli sahələrini dəyişirsə, bir-birinin nəticəsini silmir.</w:t>
      </w:r>
    </w:p>
    <w:p>
      <w:pPr>
        <w:pStyle w:val="Heading2"/>
        <w:keepNext/>
        <w:spacing w:after="120" w:before="300"/>
      </w:pPr>
      <w:r>
        <w:rPr>
          <w:rFonts w:ascii="Arial" w:cs="Arial" w:eastAsia="Arial" w:hAnsi="Arial"/>
          <w:b/>
          <w:bCs/>
          <w:color w:val="1F2328"/>
          <w:sz w:val="24"/>
          <w:szCs w:val="24"/>
        </w:rPr>
        <w:t xml:space="preserve">DR-04.4 Nəticələr və trade-off</w:t>
      </w:r>
    </w:p>
    <w:p>
      <w:pPr>
        <w:keepNext/>
        <w:spacing w:after="80" w:before="220"/>
      </w:pPr>
      <w:r>
        <w:rPr>
          <w:rFonts w:ascii="Arial" w:cs="Arial" w:eastAsia="Arial" w:hAnsi="Arial"/>
          <w:b/>
          <w:bCs/>
          <w:color w:val="1F2328"/>
          <w:spacing w:val="8"/>
          <w:sz w:val="20"/>
          <w:szCs w:val="20"/>
        </w:rPr>
        <w:t xml:space="preserve">Müsbət nəticələr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Resursun toxunulmayan sahələri qorunur.</w:t>
      </w:r>
    </w:p>
    <w:p>
      <w:pPr>
        <w:keepNext/>
        <w:spacing w:after="80" w:before="220"/>
      </w:pPr>
      <w:r>
        <w:rPr>
          <w:rFonts w:ascii="Arial" w:cs="Arial" w:eastAsia="Arial" w:hAnsi="Arial"/>
          <w:b/>
          <w:bCs/>
          <w:color w:val="1F2328"/>
          <w:spacing w:val="8"/>
          <w:sz w:val="20"/>
          <w:szCs w:val="20"/>
        </w:rPr>
        <w:t xml:space="preserve">Qəbul edilmiş güzəştlər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İcazə verilən status keçidləri ayrıca validasiya tələb edir — məsələn CANCELLED və ya COMPLETED statusundan birbaşa ACTIVE-ə qayıtmaq mümkün olmamalıdır.</w:t>
      </w:r>
    </w:p>
    <w:p>
      <w:pPr>
        <w:spacing w:after="120" w:before="0"/>
      </w:pPr>
      <w:r>
        <w:rPr>
          <w:rFonts w:ascii="Arial" w:cs="Arial" w:eastAsia="Arial" w:hAnsi="Arial"/>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Qeyd:</w:t>
            </w:r>
            <w:r>
              <w:rPr>
                <w:rFonts w:ascii="Arial" w:cs="Arial" w:eastAsia="Arial" w:hAnsi="Arial"/>
                <w:color w:val="1F2328"/>
                <w:sz w:val="19"/>
                <w:szCs w:val="19"/>
              </w:rPr>
              <w:t xml:space="preserve"> Status keçid ardıcıllığı BRD Bölmə 8.2-də sənədləşdirilib. Yenidən qeydiyyat üçün mövcud Enrollment bərpa edilmir, yeni Enrollment yaradılır.</w:t>
            </w:r>
          </w:p>
        </w:tc>
      </w:tr>
    </w:tbl>
    <w:p>
      <w:pPr>
        <w:spacing w:after="0" w:before="0" w:line="120" w:lineRule="auto"/>
      </w:pPr>
      <w:r>
        <w:rPr>
          <w:rFonts w:ascii="Arial" w:cs="Arial" w:eastAsia="Arial" w:hAnsi="Arial"/>
          <w:sz w:val="10"/>
          <w:szCs w:val="10"/>
        </w:rPr>
        <w:t xml:space="preserve"/>
      </w:r>
    </w:p>
    <w:p>
      <w:r>
        <w:br w:type="page"/>
      </w:r>
    </w:p>
    <w:p>
      <w:pPr>
        <w:pStyle w:val="Heading1"/>
        <w:keepNext/>
        <w:pBdr>
          <w:bottom w:val="single" w:color="E8A317" w:sz="12" w:space="6"/>
        </w:pBdr>
        <w:spacing w:after="160" w:before="360"/>
      </w:pPr>
      <w:r>
        <w:rPr>
          <w:rFonts w:ascii="Arial" w:cs="Arial" w:eastAsia="Arial" w:hAnsi="Arial"/>
          <w:b/>
          <w:bCs/>
          <w:color w:val="A9720A"/>
          <w:sz w:val="30"/>
          <w:szCs w:val="30"/>
        </w:rPr>
        <w:t xml:space="preserve">DR-05 — Status sahələri ENUM — boolean flag deyil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Status</w:t>
            </w:r>
          </w:p>
        </w:tc>
        <w:tc>
          <w:tcPr>
            <w:tcW w:type="dxa" w:w="3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Sahə</w:t>
            </w:r>
          </w:p>
        </w:tc>
        <w:tc>
          <w:tcPr>
            <w:tcW w:type="dxa" w:w="46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Əlaqəli tələblər</w:t>
            </w:r>
          </w:p>
        </w:tc>
      </w:tr>
      <w:tr>
        <w:tc>
          <w:tcPr>
            <w:tcW w:type="dxa" w:w="2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Qəbul edilib</w:t>
            </w:r>
          </w:p>
        </w:tc>
        <w:tc>
          <w:tcPr>
            <w:tcW w:type="dxa" w:w="3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Data model</w:t>
            </w:r>
          </w:p>
        </w:tc>
        <w:tc>
          <w:tcPr>
            <w:tcW w:type="dxa" w:w="46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BR-004, BR-005, BR-010, BR-011, BR-024, BR-025</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DR-05.1 Kontekst</w:t>
      </w:r>
    </w:p>
    <w:p>
      <w:pPr>
        <w:spacing w:after="120" w:before="60" w:line="276" w:lineRule="auto"/>
        <w:jc w:val="left"/>
      </w:pPr>
      <w:r>
        <w:rPr>
          <w:rFonts w:ascii="Arial" w:cs="Arial" w:eastAsia="Arial" w:hAnsi="Arial"/>
          <w:b w:val="false"/>
          <w:bCs w:val="false"/>
          <w:i w:val="false"/>
          <w:iCs w:val="false"/>
          <w:color w:val="1F2328"/>
          <w:sz w:val="20"/>
          <w:szCs w:val="20"/>
        </w:rPr>
        <w:t xml:space="preserve">Course dörd statusdan keçir (DRAFT → OPEN → CLOSED → COMPLETED), Enrollment üç status daşıyır (ACTIVE, CANCELLED, COMPLETED), Certificate isə ELIGIBLE → ISSUED → REVOKED ardıcıllığı ilə hərəkət edir.</w:t>
      </w:r>
    </w:p>
    <w:p>
      <w:pPr>
        <w:spacing w:after="120" w:before="60" w:line="276" w:lineRule="auto"/>
        <w:jc w:val="left"/>
      </w:pPr>
      <w:r>
        <w:rPr>
          <w:rFonts w:ascii="Arial" w:cs="Arial" w:eastAsia="Arial" w:hAnsi="Arial"/>
          <w:b w:val="false"/>
          <w:bCs w:val="false"/>
          <w:i w:val="false"/>
          <w:iCs w:val="false"/>
          <w:color w:val="1F2328"/>
          <w:sz w:val="20"/>
          <w:szCs w:val="20"/>
        </w:rPr>
        <w:t xml:space="preserve">Alternativ yanaşma hər vəziyyət üçün ayrıca boolean sahə saxlamaqdır — məsələn is_active, is_cancelled, is_completed.</w:t>
      </w:r>
    </w:p>
    <w:p>
      <w:pPr>
        <w:pStyle w:val="Heading2"/>
        <w:keepNext/>
        <w:spacing w:after="120" w:before="300"/>
      </w:pPr>
      <w:r>
        <w:rPr>
          <w:rFonts w:ascii="Arial" w:cs="Arial" w:eastAsia="Arial" w:hAnsi="Arial"/>
          <w:b/>
          <w:bCs/>
          <w:color w:val="1F2328"/>
          <w:sz w:val="24"/>
          <w:szCs w:val="24"/>
        </w:rPr>
        <w:t xml:space="preserve">DR-05.2 Baxılan variantlar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Variant</w:t>
            </w:r>
          </w:p>
        </w:tc>
        <w:tc>
          <w:tcPr>
            <w:tcW w:type="dxa" w:w="35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Güclü tərəfi</w:t>
            </w:r>
          </w:p>
        </w:tc>
        <w:tc>
          <w:tcPr>
            <w:tcW w:type="dxa" w:w="35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Zəif tərəfi</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Boolean flag-lər</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Sadə sorğu yazılışı; indeksləmə asandır.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Ziddiyyətli vəziyyət mümkündür (is_active = true və is_cancelled = true eyni anda); yeni status əlavə etmək sxem dəyişikliyi tələb edir.</w:t>
            </w:r>
          </w:p>
        </w:tc>
      </w:tr>
      <w:tr>
        <w:tc>
          <w:tcPr>
            <w:tcW w:type="dxa" w:w="26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Ayrıca status cədvəli (lookup table)</w:t>
            </w:r>
          </w:p>
        </w:tc>
        <w:tc>
          <w:tcPr>
            <w:tcW w:type="dxa" w:w="3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Status siyahısı data kimi idarə olunur; JOIN ilə əlavə metadata saxlanıla bilir.</w:t>
            </w:r>
          </w:p>
        </w:tc>
        <w:tc>
          <w:tcPr>
            <w:tcW w:type="dxa" w:w="35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Hər sorğuda əlavə JOIN; sadə lifecycle üçün lazımsız mürəkkəblik.</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ENUM sahəsi</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Eyni anda yalnız bir status mümkündür; icazəsiz dəyər database səviyyəsində rədd olunur; lifecycle sənədlə birbaşa uyğunlaşır.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Yeni status əlavə etmək sxem miqrasiyası tələb edir.</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DR-05.3 Qərar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Seçim:</w:t>
            </w:r>
            <w:r>
              <w:rPr>
                <w:rFonts w:ascii="Arial" w:cs="Arial" w:eastAsia="Arial" w:hAnsi="Arial"/>
                <w:color w:val="1F2328"/>
                <w:sz w:val="19"/>
                <w:szCs w:val="19"/>
              </w:rPr>
              <w:t xml:space="preserve"> Bütün lifecycle sahələri ENUM tipində saxlanılır: COURSE.status, COURSE_INSTANCE.status, ENROLLMENT.status, ASSESSMENT_RESULT.result_status, CERTIFICATE.status, ATTENDANCE.status, USER.status və USER.role.</w:t>
            </w:r>
          </w:p>
        </w:tc>
      </w:tr>
    </w:tbl>
    <w:p>
      <w:pPr>
        <w:spacing w:after="0" w:before="0" w:line="120" w:lineRule="auto"/>
      </w:pPr>
      <w:r>
        <w:rPr>
          <w:rFonts w:ascii="Arial" w:cs="Arial" w:eastAsia="Arial" w:hAnsi="Arial"/>
          <w:sz w:val="10"/>
          <w:szCs w:val="10"/>
        </w:rPr>
        <w:t xml:space="preserve"/>
      </w:r>
    </w:p>
    <w:p>
      <w:pPr>
        <w:spacing w:after="120" w:before="0"/>
      </w:pPr>
      <w:r>
        <w:rPr>
          <w:rFonts w:ascii="Arial" w:cs="Arial" w:eastAsia="Arial" w:hAnsi="Arial"/>
          <w:sz w:val="18"/>
          <w:szCs w:val="18"/>
        </w:rPr>
        <w:t xml:space="preserve"/>
      </w:r>
    </w:p>
    <w:p>
      <w:pPr>
        <w:spacing w:after="120" w:before="60" w:line="276" w:lineRule="auto"/>
        <w:jc w:val="left"/>
      </w:pPr>
      <w:r>
        <w:rPr>
          <w:rFonts w:ascii="Arial" w:cs="Arial" w:eastAsia="Arial" w:hAnsi="Arial"/>
          <w:b w:val="false"/>
          <w:bCs w:val="false"/>
          <w:i w:val="false"/>
          <w:iCs w:val="false"/>
          <w:color w:val="1F2328"/>
          <w:sz w:val="20"/>
          <w:szCs w:val="20"/>
        </w:rPr>
        <w:t xml:space="preserve">Boolean flag yanaşmasının əsas problemi ziddiyyətli vəziyyətin mümkün olmasıdır: bir Enrollment eyni anda həm aktiv, həm ləğv edilmiş kimi işarələnə bilər və bu, sertifikat uyğunluğunun hesablanmasını pozar.</w:t>
      </w:r>
    </w:p>
    <w:p>
      <w:pPr>
        <w:spacing w:after="120" w:before="60" w:line="276" w:lineRule="auto"/>
        <w:jc w:val="left"/>
      </w:pPr>
      <w:r>
        <w:rPr>
          <w:rFonts w:ascii="Arial" w:cs="Arial" w:eastAsia="Arial" w:hAnsi="Arial"/>
          <w:b w:val="false"/>
          <w:bCs w:val="false"/>
          <w:i w:val="false"/>
          <w:iCs w:val="false"/>
          <w:color w:val="1F2328"/>
          <w:sz w:val="20"/>
          <w:szCs w:val="20"/>
        </w:rPr>
        <w:t xml:space="preserve">ENUM həm də sənədləşdirmə üçün üstünlük verir: BRD Bölmə 8.2-dəki status keçid ardıcıllığı birbaşa data modelində əks olunur, yəni sənəd ilə sxem arasında tərcümə lazım deyil.</w:t>
      </w:r>
    </w:p>
    <w:p>
      <w:pPr>
        <w:pStyle w:val="Heading2"/>
        <w:keepNext/>
        <w:spacing w:after="120" w:before="300"/>
      </w:pPr>
      <w:r>
        <w:rPr>
          <w:rFonts w:ascii="Arial" w:cs="Arial" w:eastAsia="Arial" w:hAnsi="Arial"/>
          <w:b/>
          <w:bCs/>
          <w:color w:val="1F2328"/>
          <w:sz w:val="24"/>
          <w:szCs w:val="24"/>
        </w:rPr>
        <w:t xml:space="preserve">DR-05.4 Nəticələr və trade-off</w:t>
      </w:r>
    </w:p>
    <w:p>
      <w:pPr>
        <w:keepNext/>
        <w:spacing w:after="80" w:before="220"/>
      </w:pPr>
      <w:r>
        <w:rPr>
          <w:rFonts w:ascii="Arial" w:cs="Arial" w:eastAsia="Arial" w:hAnsi="Arial"/>
          <w:b/>
          <w:bCs/>
          <w:color w:val="1F2328"/>
          <w:spacing w:val="8"/>
          <w:sz w:val="20"/>
          <w:szCs w:val="20"/>
        </w:rPr>
        <w:t xml:space="preserve">Müsbət nəticələr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Ziddiyyətli status vəziyyəti struktur olaraq mümkün deyil.</w:t>
      </w:r>
    </w:p>
    <w:p>
      <w:pPr>
        <w:keepNext/>
        <w:spacing w:after="80" w:before="220"/>
      </w:pPr>
      <w:r>
        <w:rPr>
          <w:rFonts w:ascii="Arial" w:cs="Arial" w:eastAsia="Arial" w:hAnsi="Arial"/>
          <w:b/>
          <w:bCs/>
          <w:color w:val="1F2328"/>
          <w:spacing w:val="8"/>
          <w:sz w:val="20"/>
          <w:szCs w:val="20"/>
        </w:rPr>
        <w:t xml:space="preserve">Qəbul edilmiş güzəştlər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Yeni status dəyəri əlavə etmək sxem miqrasiyası tələb edir; bu, gələcək fazalarda planlaşdırılmalıdır.</w:t>
      </w:r>
    </w:p>
    <w:p>
      <w:r>
        <w:br w:type="page"/>
      </w:r>
    </w:p>
    <w:p>
      <w:pPr>
        <w:pStyle w:val="Heading1"/>
        <w:keepNext/>
        <w:pBdr>
          <w:bottom w:val="single" w:color="E8A317" w:sz="12" w:space="6"/>
        </w:pBdr>
        <w:spacing w:after="160" w:before="360"/>
      </w:pPr>
      <w:r>
        <w:rPr>
          <w:rFonts w:ascii="Arial" w:cs="Arial" w:eastAsia="Arial" w:hAnsi="Arial"/>
          <w:b/>
          <w:bCs/>
          <w:color w:val="A9720A"/>
          <w:sz w:val="30"/>
          <w:szCs w:val="30"/>
        </w:rPr>
        <w:t xml:space="preserve">DR-06 — UUID primary key — ardıcıl tam ədəd deyil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Status</w:t>
            </w:r>
          </w:p>
        </w:tc>
        <w:tc>
          <w:tcPr>
            <w:tcW w:type="dxa" w:w="3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Sahə</w:t>
            </w:r>
          </w:p>
        </w:tc>
        <w:tc>
          <w:tcPr>
            <w:tcW w:type="dxa" w:w="46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Əlaqəli tələblər</w:t>
            </w:r>
          </w:p>
        </w:tc>
      </w:tr>
      <w:tr>
        <w:tc>
          <w:tcPr>
            <w:tcW w:type="dxa" w:w="2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Qəbul edilib</w:t>
            </w:r>
          </w:p>
        </w:tc>
        <w:tc>
          <w:tcPr>
            <w:tcW w:type="dxa" w:w="3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Data model / security</w:t>
            </w:r>
          </w:p>
        </w:tc>
        <w:tc>
          <w:tcPr>
            <w:tcW w:type="dxa" w:w="46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BR-023, BR-027, FR-STU-02</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DR-06.1 Kontekst</w:t>
      </w:r>
    </w:p>
    <w:p>
      <w:pPr>
        <w:spacing w:after="120" w:before="60" w:line="276" w:lineRule="auto"/>
        <w:jc w:val="left"/>
      </w:pPr>
      <w:r>
        <w:rPr>
          <w:rFonts w:ascii="Arial" w:cs="Arial" w:eastAsia="Arial" w:hAnsi="Arial"/>
          <w:b w:val="false"/>
          <w:bCs w:val="false"/>
          <w:i w:val="false"/>
          <w:iCs w:val="false"/>
          <w:color w:val="1F2328"/>
          <w:sz w:val="20"/>
          <w:szCs w:val="20"/>
        </w:rPr>
        <w:t xml:space="preserve">Bütün entity-lər üçün primary key tipi seçilməli idi. Sistemdə public əlçatan endpoint mövcuddur (certificate verification) və Student öz resurslarına ID ilə müraciət edir.</w:t>
      </w:r>
    </w:p>
    <w:p>
      <w:pPr>
        <w:pStyle w:val="Heading2"/>
        <w:keepNext/>
        <w:spacing w:after="120" w:before="300"/>
      </w:pPr>
      <w:r>
        <w:rPr>
          <w:rFonts w:ascii="Arial" w:cs="Arial" w:eastAsia="Arial" w:hAnsi="Arial"/>
          <w:b/>
          <w:bCs/>
          <w:color w:val="1F2328"/>
          <w:sz w:val="24"/>
          <w:szCs w:val="24"/>
        </w:rPr>
        <w:t xml:space="preserve">DR-06.2 Baxılan variantlar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Variant</w:t>
            </w:r>
          </w:p>
        </w:tc>
        <w:tc>
          <w:tcPr>
            <w:tcW w:type="dxa" w:w="35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Güclü tərəfi</w:t>
            </w:r>
          </w:p>
        </w:tc>
        <w:tc>
          <w:tcPr>
            <w:tcW w:type="dxa" w:w="35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Zəif tərəfi</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Ardıcıl tam ədəd (SERIAL / IDENTITY)</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Kiçik ölçü; indeks performansı yaxşı; oxunaqlı.</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ID-lər təxmin edilə bilir — enumeration hücumu riski; sistemdəki qeydlərin sayı kənardan görünür.</w:t>
            </w:r>
          </w:p>
        </w:tc>
      </w:tr>
      <w:tr>
        <w:tc>
          <w:tcPr>
            <w:tcW w:type="dxa" w:w="26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Composite key</w:t>
            </w:r>
          </w:p>
        </w:tc>
        <w:tc>
          <w:tcPr>
            <w:tcW w:type="dxa" w:w="3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Biznes mənası daşıyır.</w:t>
            </w:r>
          </w:p>
        </w:tc>
        <w:tc>
          <w:tcPr>
            <w:tcW w:type="dxa" w:w="35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FK-lar mürəkkəbləşir; biznes sahələri dəyişdikdə key dəyişməli olur.</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UUID</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Təxmin edilə bilmir; enumeration hücumu praktik deyil; paylanmış sistemdə unikallıq təmin olunur.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Daha çox yer tutur; indeks performansı ardıcıl açardan bir qədər zəifdir; oxunaqlı deyil.</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DR-06.3 Qərar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Seçim:</w:t>
            </w:r>
            <w:r>
              <w:rPr>
                <w:rFonts w:ascii="Arial" w:cs="Arial" w:eastAsia="Arial" w:hAnsi="Arial"/>
                <w:color w:val="1F2328"/>
                <w:sz w:val="19"/>
                <w:szCs w:val="19"/>
              </w:rPr>
              <w:t xml:space="preserve"> Bütün entity-lərdə primary key UUID tipindədir. Certificate üçün əlavə olaraq ayrıca unikal verification_code sahəsi saxlanılır (BR-023).</w:t>
            </w:r>
          </w:p>
        </w:tc>
      </w:tr>
    </w:tbl>
    <w:p>
      <w:pPr>
        <w:spacing w:after="0" w:before="0" w:line="120" w:lineRule="auto"/>
      </w:pPr>
      <w:r>
        <w:rPr>
          <w:rFonts w:ascii="Arial" w:cs="Arial" w:eastAsia="Arial" w:hAnsi="Arial"/>
          <w:sz w:val="10"/>
          <w:szCs w:val="10"/>
        </w:rPr>
        <w:t xml:space="preserve"/>
      </w:r>
    </w:p>
    <w:p>
      <w:pPr>
        <w:spacing w:after="120" w:before="0"/>
      </w:pPr>
      <w:r>
        <w:rPr>
          <w:rFonts w:ascii="Arial" w:cs="Arial" w:eastAsia="Arial" w:hAnsi="Arial"/>
          <w:sz w:val="18"/>
          <w:szCs w:val="18"/>
        </w:rPr>
        <w:t xml:space="preserve"/>
      </w:r>
    </w:p>
    <w:p>
      <w:pPr>
        <w:spacing w:after="120" w:before="60" w:line="276" w:lineRule="auto"/>
        <w:jc w:val="left"/>
      </w:pPr>
      <w:r>
        <w:rPr>
          <w:rFonts w:ascii="Arial" w:cs="Arial" w:eastAsia="Arial" w:hAnsi="Arial"/>
          <w:b w:val="false"/>
          <w:bCs w:val="false"/>
          <w:i w:val="false"/>
          <w:iCs w:val="false"/>
          <w:color w:val="1F2328"/>
          <w:sz w:val="20"/>
          <w:szCs w:val="20"/>
        </w:rPr>
        <w:t xml:space="preserve">Ardıcıl ID seçilsəydi, Student öz enrollment ID-sini bilməklə qonşu ID-ləri sınayaraq başqa tələbələrin qeydlərinə müraciət cəhdi edə bilərdi. RLS bu cəhdi bloklayır, lakin müdafiənin yalnız bir təbəqədən asılı olmaması üstünlük təşkil edir.</w:t>
      </w:r>
    </w:p>
    <w:p>
      <w:pPr>
        <w:spacing w:after="120" w:before="60" w:line="276" w:lineRule="auto"/>
        <w:jc w:val="left"/>
      </w:pPr>
      <w:r>
        <w:rPr>
          <w:rFonts w:ascii="Arial" w:cs="Arial" w:eastAsia="Arial" w:hAnsi="Arial"/>
          <w:b w:val="false"/>
          <w:bCs w:val="false"/>
          <w:i w:val="false"/>
          <w:iCs w:val="false"/>
          <w:color w:val="1F2328"/>
          <w:sz w:val="20"/>
          <w:szCs w:val="20"/>
        </w:rPr>
        <w:t xml:space="preserve">İkinci mülahizə: ardıcıl ID sistemdəki qeydlərin təxmini sayını kənar müşahidəçiyə açır — bu, biznes məlumatının dolayı sızmasıdır.</w:t>
      </w:r>
    </w:p>
    <w:p>
      <w:pPr>
        <w:spacing w:after="120" w:before="60" w:line="276" w:lineRule="auto"/>
        <w:jc w:val="left"/>
      </w:pPr>
      <w:r>
        <w:rPr>
          <w:rFonts w:ascii="Arial" w:cs="Arial" w:eastAsia="Arial" w:hAnsi="Arial"/>
          <w:b w:val="false"/>
          <w:bCs w:val="false"/>
          <w:i w:val="false"/>
          <w:iCs w:val="false"/>
          <w:color w:val="1F2328"/>
          <w:sz w:val="20"/>
          <w:szCs w:val="20"/>
        </w:rPr>
        <w:t xml:space="preserve">Verification code-un ayrıca sahə kimi saxlanılması şüurlu seçimdir: sertifikatın primary key-i public paylaşılmır, yalnız bu məqsəd üçün yaradılmış kod paylaşılır.</w:t>
      </w:r>
    </w:p>
    <w:p>
      <w:pPr>
        <w:pStyle w:val="Heading2"/>
        <w:keepNext/>
        <w:spacing w:after="120" w:before="300"/>
      </w:pPr>
      <w:r>
        <w:rPr>
          <w:rFonts w:ascii="Arial" w:cs="Arial" w:eastAsia="Arial" w:hAnsi="Arial"/>
          <w:b/>
          <w:bCs/>
          <w:color w:val="1F2328"/>
          <w:sz w:val="24"/>
          <w:szCs w:val="24"/>
        </w:rPr>
        <w:t xml:space="preserve">DR-06.4 Nəticələr və trade-off</w:t>
      </w:r>
    </w:p>
    <w:p>
      <w:pPr>
        <w:keepNext/>
        <w:spacing w:after="80" w:before="220"/>
      </w:pPr>
      <w:r>
        <w:rPr>
          <w:rFonts w:ascii="Arial" w:cs="Arial" w:eastAsia="Arial" w:hAnsi="Arial"/>
          <w:b/>
          <w:bCs/>
          <w:color w:val="1F2328"/>
          <w:spacing w:val="8"/>
          <w:sz w:val="20"/>
          <w:szCs w:val="20"/>
        </w:rPr>
        <w:t xml:space="preserve">Müsbət nəticələr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Enumeration hücumu praktik olaraq mümkün deyil.</w:t>
      </w:r>
    </w:p>
    <w:p>
      <w:pPr>
        <w:keepNext/>
        <w:spacing w:after="80" w:before="220"/>
      </w:pPr>
      <w:r>
        <w:rPr>
          <w:rFonts w:ascii="Arial" w:cs="Arial" w:eastAsia="Arial" w:hAnsi="Arial"/>
          <w:b/>
          <w:bCs/>
          <w:color w:val="1F2328"/>
          <w:spacing w:val="8"/>
          <w:sz w:val="20"/>
          <w:szCs w:val="20"/>
        </w:rPr>
        <w:t xml:space="preserve">Qəbul edilmiş güzəştlər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UUID-lər oxunaqlı deyil; debug və dəstək prosesində əlavə çətinlik yaradır.</w:t>
      </w:r>
    </w:p>
    <w:p>
      <w:r>
        <w:br w:type="page"/>
      </w:r>
    </w:p>
    <w:p>
      <w:pPr>
        <w:pStyle w:val="Heading1"/>
        <w:keepNext/>
        <w:pBdr>
          <w:bottom w:val="single" w:color="E8A317" w:sz="12" w:space="6"/>
        </w:pBdr>
        <w:spacing w:after="160" w:before="360"/>
      </w:pPr>
      <w:r>
        <w:rPr>
          <w:rFonts w:ascii="Arial" w:cs="Arial" w:eastAsia="Arial" w:hAnsi="Arial"/>
          <w:b/>
          <w:bCs/>
          <w:color w:val="A9720A"/>
          <w:sz w:val="30"/>
          <w:szCs w:val="30"/>
        </w:rPr>
        <w:t xml:space="preserve">DR-07 — Prerequisite — self-referencing FK, ayrıca cədvəl deyil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Status</w:t>
            </w:r>
          </w:p>
        </w:tc>
        <w:tc>
          <w:tcPr>
            <w:tcW w:type="dxa" w:w="3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Sahə</w:t>
            </w:r>
          </w:p>
        </w:tc>
        <w:tc>
          <w:tcPr>
            <w:tcW w:type="dxa" w:w="46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Əlaqəli tələblər</w:t>
            </w:r>
          </w:p>
        </w:tc>
      </w:tr>
      <w:tr>
        <w:tc>
          <w:tcPr>
            <w:tcW w:type="dxa" w:w="2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Qəbul edilib</w:t>
            </w:r>
          </w:p>
        </w:tc>
        <w:tc>
          <w:tcPr>
            <w:tcW w:type="dxa" w:w="3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Data model</w:t>
            </w:r>
          </w:p>
        </w:tc>
        <w:tc>
          <w:tcPr>
            <w:tcW w:type="dxa" w:w="46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BR-009, EC-04, AC-06, US-05</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DR-07.1 Kontekst</w:t>
      </w:r>
    </w:p>
    <w:p>
      <w:pPr>
        <w:spacing w:after="120" w:before="60" w:line="276" w:lineRule="auto"/>
        <w:jc w:val="left"/>
      </w:pPr>
      <w:r>
        <w:rPr>
          <w:rFonts w:ascii="Arial" w:cs="Arial" w:eastAsia="Arial" w:hAnsi="Arial"/>
          <w:b w:val="false"/>
          <w:bCs w:val="false"/>
          <w:i w:val="false"/>
          <w:iCs w:val="false"/>
          <w:color w:val="1F2328"/>
          <w:sz w:val="20"/>
          <w:szCs w:val="20"/>
        </w:rPr>
        <w:t xml:space="preserve">Course üçün ön şərt (prerequisite) müəyyən edilə bilər: tələbə qeydiyyatdan keçmək üçün əvvəlki kurs üzrə PASSED nəticəsinə malik olmalıdır (BR-009).</w:t>
      </w:r>
    </w:p>
    <w:p>
      <w:pPr>
        <w:spacing w:after="120" w:before="60" w:line="276" w:lineRule="auto"/>
        <w:jc w:val="left"/>
      </w:pPr>
      <w:r>
        <w:rPr>
          <w:rFonts w:ascii="Arial" w:cs="Arial" w:eastAsia="Arial" w:hAnsi="Arial"/>
          <w:b w:val="false"/>
          <w:bCs w:val="false"/>
          <w:i w:val="false"/>
          <w:iCs w:val="false"/>
          <w:color w:val="1F2328"/>
          <w:sz w:val="20"/>
          <w:szCs w:val="20"/>
        </w:rPr>
        <w:t xml:space="preserve">Data modelində bu əlaqə iki üsulla qurula bilərdi: COURSE cədvəlində self-referencing FK və ya ayrıca course_prerequisites əlaqə cədvəli.</w:t>
      </w:r>
    </w:p>
    <w:p>
      <w:pPr>
        <w:pStyle w:val="Heading2"/>
        <w:keepNext/>
        <w:spacing w:after="120" w:before="300"/>
      </w:pPr>
      <w:r>
        <w:rPr>
          <w:rFonts w:ascii="Arial" w:cs="Arial" w:eastAsia="Arial" w:hAnsi="Arial"/>
          <w:b/>
          <w:bCs/>
          <w:color w:val="1F2328"/>
          <w:sz w:val="24"/>
          <w:szCs w:val="24"/>
        </w:rPr>
        <w:t xml:space="preserve">DR-07.2 Baxılan variantlar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Variant</w:t>
            </w:r>
          </w:p>
        </w:tc>
        <w:tc>
          <w:tcPr>
            <w:tcW w:type="dxa" w:w="35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Güclü tərəfi</w:t>
            </w:r>
          </w:p>
        </w:tc>
        <w:tc>
          <w:tcPr>
            <w:tcW w:type="dxa" w:w="35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Zəif tərəfi</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Ayrıca course_prerequisites cədvəli</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Bir kurs üçün çoxsaylı prerequisite dəstəklənir; AND / OR məntiqi əlavə edilə bilər.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Sorğular mürəkkəbləşir; cari tələb yalnız bir prerequisite nəzərdə tutur.</w:t>
            </w:r>
          </w:p>
        </w:tc>
      </w:tr>
      <w:tr>
        <w:tc>
          <w:tcPr>
            <w:tcW w:type="dxa" w:w="26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Prerequisite mətn sahəsi kimi</w:t>
            </w:r>
          </w:p>
        </w:tc>
        <w:tc>
          <w:tcPr>
            <w:tcW w:type="dxa" w:w="3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Ən sadə tətbiq.</w:t>
            </w:r>
          </w:p>
        </w:tc>
        <w:tc>
          <w:tcPr>
            <w:tcW w:type="dxa" w:w="35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Avtomatik yoxlama mümkün deyil; BR-009 tətbiq oluna bilməz.</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Self-referencing FK — prerequisite_course_id</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Sadə sorğu; referential integrity qorunur; cari tələbə tam uyğundur.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Yalnız bir prerequisite dəstəklənir; çoxsaylı ön şərt gələcəkdə sxem dəyişikliyi tələb edəcək.</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DR-07.3 Qərar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Seçim:</w:t>
            </w:r>
            <w:r>
              <w:rPr>
                <w:rFonts w:ascii="Arial" w:cs="Arial" w:eastAsia="Arial" w:hAnsi="Arial"/>
                <w:color w:val="1F2328"/>
                <w:sz w:val="19"/>
                <w:szCs w:val="19"/>
              </w:rPr>
              <w:t xml:space="preserve"> COURSE cədvəlində NULLABLE prerequisite_course_id sahəsi saxlanılır və COURSE.id-yə self-referencing FK ilə bağlanır. Cardinality: 1 : 0..N.</w:t>
            </w:r>
          </w:p>
        </w:tc>
      </w:tr>
    </w:tbl>
    <w:p>
      <w:pPr>
        <w:spacing w:after="0" w:before="0" w:line="120" w:lineRule="auto"/>
      </w:pPr>
      <w:r>
        <w:rPr>
          <w:rFonts w:ascii="Arial" w:cs="Arial" w:eastAsia="Arial" w:hAnsi="Arial"/>
          <w:sz w:val="10"/>
          <w:szCs w:val="10"/>
        </w:rPr>
        <w:t xml:space="preserve"/>
      </w:r>
    </w:p>
    <w:p>
      <w:pPr>
        <w:spacing w:after="120" w:before="0"/>
      </w:pPr>
      <w:r>
        <w:rPr>
          <w:rFonts w:ascii="Arial" w:cs="Arial" w:eastAsia="Arial" w:hAnsi="Arial"/>
          <w:sz w:val="18"/>
          <w:szCs w:val="18"/>
        </w:rPr>
        <w:t xml:space="preserve"/>
      </w:r>
    </w:p>
    <w:p>
      <w:pPr>
        <w:spacing w:after="120" w:before="60" w:line="276" w:lineRule="auto"/>
        <w:jc w:val="left"/>
      </w:pPr>
      <w:r>
        <w:rPr>
          <w:rFonts w:ascii="Arial" w:cs="Arial" w:eastAsia="Arial" w:hAnsi="Arial"/>
          <w:b w:val="false"/>
          <w:bCs w:val="false"/>
          <w:i w:val="false"/>
          <w:iCs w:val="false"/>
          <w:color w:val="1F2328"/>
          <w:sz w:val="20"/>
          <w:szCs w:val="20"/>
        </w:rPr>
        <w:t xml:space="preserve">Cari biznes tələbi bir kurs üçün yalnız bir ön şərt nəzərdə tutur. Ayrıca əlaqə cədvəli bu mərhələdə istifadə olunmayacaq imkan üçün əlavə mürəkkəblik yaradardı.</w:t>
      </w:r>
    </w:p>
    <w:p>
      <w:pPr>
        <w:spacing w:after="120" w:before="60" w:line="276" w:lineRule="auto"/>
        <w:jc w:val="left"/>
      </w:pPr>
      <w:r>
        <w:rPr>
          <w:rFonts w:ascii="Arial" w:cs="Arial" w:eastAsia="Arial" w:hAnsi="Arial"/>
          <w:b w:val="false"/>
          <w:bCs w:val="false"/>
          <w:i w:val="false"/>
          <w:iCs w:val="false"/>
          <w:color w:val="1F2328"/>
          <w:sz w:val="20"/>
          <w:szCs w:val="20"/>
        </w:rPr>
        <w:t xml:space="preserve">Sahə NULLABLE seçilib, çünki kursların əksəriyyəti üçün ön şərt tələb olunmur — bu, ayrıca “prerequisite yoxdur” dəyəri saxlamaqdan sadədir.</w:t>
      </w:r>
    </w:p>
    <w:p>
      <w:pPr>
        <w:pStyle w:val="Heading2"/>
        <w:keepNext/>
        <w:spacing w:after="120" w:before="300"/>
      </w:pPr>
      <w:r>
        <w:rPr>
          <w:rFonts w:ascii="Arial" w:cs="Arial" w:eastAsia="Arial" w:hAnsi="Arial"/>
          <w:b/>
          <w:bCs/>
          <w:color w:val="1F2328"/>
          <w:sz w:val="24"/>
          <w:szCs w:val="24"/>
        </w:rPr>
        <w:t xml:space="preserve">DR-07.4 Nəticələr və trade-off</w:t>
      </w:r>
    </w:p>
    <w:p>
      <w:pPr>
        <w:keepNext/>
        <w:spacing w:after="80" w:before="220"/>
      </w:pPr>
      <w:r>
        <w:rPr>
          <w:rFonts w:ascii="Arial" w:cs="Arial" w:eastAsia="Arial" w:hAnsi="Arial"/>
          <w:b/>
          <w:bCs/>
          <w:color w:val="1F2328"/>
          <w:spacing w:val="8"/>
          <w:sz w:val="20"/>
          <w:szCs w:val="20"/>
        </w:rPr>
        <w:t xml:space="preserve">Müsbət nəticələr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Prerequisite yoxlanışı tək JOIN ilə həyata keçirilir; SQL sorğusu Texniki Sənəd Bölmə 2.2-də sənədləşdirilib.</w:t>
      </w:r>
    </w:p>
    <w:p>
      <w:pPr>
        <w:keepNext/>
        <w:spacing w:after="80" w:before="220"/>
      </w:pPr>
      <w:r>
        <w:rPr>
          <w:rFonts w:ascii="Arial" w:cs="Arial" w:eastAsia="Arial" w:hAnsi="Arial"/>
          <w:b/>
          <w:bCs/>
          <w:color w:val="1F2328"/>
          <w:spacing w:val="8"/>
          <w:sz w:val="20"/>
          <w:szCs w:val="20"/>
        </w:rPr>
        <w:t xml:space="preserve">Qəbul edilmiş güzəştlər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Bir kurs üçün birdən çox prerequisite tələb olunarsa, sxem dəyişikliyi lazım gələcək.</w:t>
      </w:r>
    </w:p>
    <w:p>
      <w:pPr>
        <w:spacing w:after="120" w:before="0"/>
      </w:pPr>
      <w:r>
        <w:rPr>
          <w:rFonts w:ascii="Arial" w:cs="Arial" w:eastAsia="Arial" w:hAnsi="Arial"/>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Qeyd:</w:t>
            </w:r>
            <w:r>
              <w:rPr>
                <w:rFonts w:ascii="Arial" w:cs="Arial" w:eastAsia="Arial" w:hAnsi="Arial"/>
                <w:color w:val="1F2328"/>
                <w:sz w:val="19"/>
                <w:szCs w:val="19"/>
              </w:rPr>
              <w:t xml:space="preserve"> Prerequisite kursun ARCHIVED edilməsi halında ondan asılı kursların davranışı açıq məsələ kimi qeyd olunub — Gap Register sənədinə baxın.</w:t>
            </w:r>
          </w:p>
        </w:tc>
      </w:tr>
    </w:tbl>
    <w:p>
      <w:pPr>
        <w:spacing w:after="0" w:before="0" w:line="120" w:lineRule="auto"/>
      </w:pPr>
      <w:r>
        <w:rPr>
          <w:rFonts w:ascii="Arial" w:cs="Arial" w:eastAsia="Arial" w:hAnsi="Arial"/>
          <w:sz w:val="10"/>
          <w:szCs w:val="10"/>
        </w:rPr>
        <w:t xml:space="preserve"/>
      </w:r>
    </w:p>
    <w:p>
      <w:r>
        <w:br w:type="page"/>
      </w:r>
    </w:p>
    <w:p>
      <w:pPr>
        <w:pStyle w:val="Heading1"/>
        <w:keepNext/>
        <w:pBdr>
          <w:bottom w:val="single" w:color="E8A317" w:sz="12" w:space="6"/>
        </w:pBdr>
        <w:spacing w:after="160" w:before="360"/>
      </w:pPr>
      <w:r>
        <w:rPr>
          <w:rFonts w:ascii="Arial" w:cs="Arial" w:eastAsia="Arial" w:hAnsi="Arial"/>
          <w:b/>
          <w:bCs/>
          <w:color w:val="A9720A"/>
          <w:sz w:val="30"/>
          <w:szCs w:val="30"/>
        </w:rPr>
        <w:t xml:space="preserve">DR-08 — Certificate verification public — autentifikasiya tələb olunmur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Status</w:t>
            </w:r>
          </w:p>
        </w:tc>
        <w:tc>
          <w:tcPr>
            <w:tcW w:type="dxa" w:w="30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Sahə</w:t>
            </w:r>
          </w:p>
        </w:tc>
        <w:tc>
          <w:tcPr>
            <w:tcW w:type="dxa" w:w="46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Əlaqəli tələblər</w:t>
            </w:r>
          </w:p>
        </w:tc>
      </w:tr>
      <w:tr>
        <w:tc>
          <w:tcPr>
            <w:tcW w:type="dxa" w:w="2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5C6370"/>
                <w:sz w:val="19"/>
                <w:szCs w:val="19"/>
              </w:rPr>
              <w:t xml:space="preserve">Şərti</w:t>
            </w:r>
          </w:p>
        </w:tc>
        <w:tc>
          <w:tcPr>
            <w:tcW w:type="dxa" w:w="30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Security / business</w:t>
            </w:r>
          </w:p>
        </w:tc>
        <w:tc>
          <w:tcPr>
            <w:tcW w:type="dxa" w:w="46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BR-023, Q4, C-05</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DR-08.1 Kontekst</w:t>
      </w:r>
    </w:p>
    <w:p>
      <w:pPr>
        <w:spacing w:after="120" w:before="60" w:line="276" w:lineRule="auto"/>
        <w:jc w:val="left"/>
      </w:pPr>
      <w:r>
        <w:rPr>
          <w:rFonts w:ascii="Arial" w:cs="Arial" w:eastAsia="Arial" w:hAnsi="Arial"/>
          <w:b w:val="false"/>
          <w:bCs w:val="false"/>
          <w:i w:val="false"/>
          <w:iCs w:val="false"/>
          <w:color w:val="1F2328"/>
          <w:sz w:val="20"/>
          <w:szCs w:val="20"/>
        </w:rPr>
        <w:t xml:space="preserve">Sertifikatın həqiqiliyi üçüncü tərəf — məsələn işəgötürən — tərəfindən yoxlana bilməlidir. Yoxlayan tərəfin sistemdə hesabı olmur.</w:t>
      </w:r>
    </w:p>
    <w:p>
      <w:pPr>
        <w:spacing w:after="120" w:before="60" w:line="276" w:lineRule="auto"/>
        <w:jc w:val="left"/>
      </w:pPr>
      <w:r>
        <w:rPr>
          <w:rFonts w:ascii="Arial" w:cs="Arial" w:eastAsia="Arial" w:hAnsi="Arial"/>
          <w:b w:val="false"/>
          <w:bCs w:val="false"/>
          <w:i w:val="false"/>
          <w:iCs w:val="false"/>
          <w:color w:val="1F2328"/>
          <w:sz w:val="20"/>
          <w:szCs w:val="20"/>
        </w:rPr>
        <w:t xml:space="preserve">BRD Bölmə 2.5-də məhdudiyyət kimi qeyd olunub: public certificate verification yalnız icazə verilmiş və minimal məlumatı qaytarmalıdır.</w:t>
      </w:r>
    </w:p>
    <w:p>
      <w:pPr>
        <w:pStyle w:val="Heading2"/>
        <w:keepNext/>
        <w:spacing w:after="120" w:before="300"/>
      </w:pPr>
      <w:r>
        <w:rPr>
          <w:rFonts w:ascii="Arial" w:cs="Arial" w:eastAsia="Arial" w:hAnsi="Arial"/>
          <w:b/>
          <w:bCs/>
          <w:color w:val="1F2328"/>
          <w:sz w:val="24"/>
          <w:szCs w:val="24"/>
        </w:rPr>
        <w:t xml:space="preserve">DR-08.2 Baxılan variantlar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Variant</w:t>
            </w:r>
          </w:p>
        </w:tc>
        <w:tc>
          <w:tcPr>
            <w:tcW w:type="dxa" w:w="35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Güclü tərəfi</w:t>
            </w:r>
          </w:p>
        </w:tc>
        <w:tc>
          <w:tcPr>
            <w:tcW w:type="dxa" w:w="35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Zəif tərəfi</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Autentifikasiya tələb etmək</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Tam nəzarət; hər sorğu istifadəçi ilə əlaqələndirilir.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Üçüncü tərəf hesab yaratmalıdır — funksiyanın praktik dəyəri itir.</w:t>
            </w:r>
          </w:p>
        </w:tc>
      </w:tr>
      <w:tr>
        <w:tc>
          <w:tcPr>
            <w:tcW w:type="dxa" w:w="26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1F2328"/>
                <w:sz w:val="19"/>
                <w:szCs w:val="19"/>
              </w:rPr>
              <w:t xml:space="preserve">Sertifikat PDF-inə imza / QR əlavə etmək</w:t>
            </w:r>
          </w:p>
        </w:tc>
        <w:tc>
          <w:tcPr>
            <w:tcW w:type="dxa" w:w="3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Onlayn sorğu tələb olunmur.</w:t>
            </w:r>
          </w:p>
        </w:tc>
        <w:tc>
          <w:tcPr>
            <w:tcW w:type="dxa" w:w="35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Ləğv edilmiş (REVOKED) sertifikat aşkarlanmır; statusun cari vəziyyəti görünmür.</w:t>
            </w:r>
          </w:p>
        </w:tc>
      </w:tr>
      <w:tr>
        <w:tc>
          <w:tcPr>
            <w:tcW w:type="dxa" w:w="26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A9720A"/>
                <w:sz w:val="19"/>
                <w:szCs w:val="19"/>
              </w:rPr>
              <w:t xml:space="preserve">Public endpoint + anon role RLS policy</w:t>
            </w:r>
          </w:p>
        </w:tc>
        <w:tc>
          <w:tcPr>
            <w:tcW w:type="dxa" w:w="3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Hesab tələb olunmur; RLS yalnız ISSUED sertifikatı qaytarır; şəxsi məlumat açıqlanmır.</w:t>
            </w:r>
          </w:p>
        </w:tc>
        <w:tc>
          <w:tcPr>
            <w:tcW w:type="dxa" w:w="35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Endpoint açıq olduğundan verification code-un təxmin edilməsi cəhdinə qarşı əlavə tədbir tələb olunur.</w:t>
            </w:r>
          </w:p>
        </w:tc>
      </w:tr>
    </w:tbl>
    <w:p>
      <w:pPr>
        <w:spacing w:after="0" w:before="0" w:line="120" w:lineRule="auto"/>
      </w:pPr>
      <w:r>
        <w:rPr>
          <w:rFonts w:ascii="Arial" w:cs="Arial" w:eastAsia="Arial" w:hAnsi="Arial"/>
          <w:sz w:val="10"/>
          <w:szCs w:val="10"/>
        </w:rPr>
        <w:t xml:space="preserve"/>
      </w:r>
    </w:p>
    <w:p>
      <w:pPr>
        <w:spacing w:after="140" w:before="0"/>
      </w:pPr>
      <w:r>
        <w:rPr>
          <w:rFonts w:ascii="Arial" w:cs="Arial" w:eastAsia="Arial" w:hAnsi="Arial"/>
          <w:sz w:val="18"/>
          <w:szCs w:val="18"/>
        </w:rPr>
        <w:t xml:space="preserve"/>
      </w:r>
    </w:p>
    <w:p>
      <w:pPr>
        <w:pStyle w:val="Heading2"/>
        <w:keepNext/>
        <w:spacing w:after="120" w:before="300"/>
      </w:pPr>
      <w:r>
        <w:rPr>
          <w:rFonts w:ascii="Arial" w:cs="Arial" w:eastAsia="Arial" w:hAnsi="Arial"/>
          <w:b/>
          <w:bCs/>
          <w:color w:val="1F2328"/>
          <w:sz w:val="24"/>
          <w:szCs w:val="24"/>
        </w:rPr>
        <w:t xml:space="preserve">DR-08.3 Qərar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Seçim:</w:t>
            </w:r>
            <w:r>
              <w:rPr>
                <w:rFonts w:ascii="Arial" w:cs="Arial" w:eastAsia="Arial" w:hAnsi="Arial"/>
                <w:color w:val="1F2328"/>
                <w:sz w:val="19"/>
                <w:szCs w:val="19"/>
              </w:rPr>
              <w:t xml:space="preserve"> GET /certificates?verification_code=eq.{code} endpoint-i public təqdim olunur. JWT tələb olunmur; Supabase anon rolu üçün yaradılmış RLS SELECT policy yalnız ISSUED statuslu sertifikatların oxunmasına icazə verir.</w:t>
            </w:r>
          </w:p>
        </w:tc>
      </w:tr>
    </w:tbl>
    <w:p>
      <w:pPr>
        <w:spacing w:after="0" w:before="0" w:line="120" w:lineRule="auto"/>
      </w:pPr>
      <w:r>
        <w:rPr>
          <w:rFonts w:ascii="Arial" w:cs="Arial" w:eastAsia="Arial" w:hAnsi="Arial"/>
          <w:sz w:val="10"/>
          <w:szCs w:val="10"/>
        </w:rPr>
        <w:t xml:space="preserve"/>
      </w:r>
    </w:p>
    <w:p>
      <w:pPr>
        <w:spacing w:after="120" w:before="0"/>
      </w:pPr>
      <w:r>
        <w:rPr>
          <w:rFonts w:ascii="Arial" w:cs="Arial" w:eastAsia="Arial" w:hAnsi="Arial"/>
          <w:sz w:val="18"/>
          <w:szCs w:val="18"/>
        </w:rPr>
        <w:t xml:space="preserve"/>
      </w:r>
    </w:p>
    <w:p>
      <w:pPr>
        <w:spacing w:after="120" w:before="60" w:line="276" w:lineRule="auto"/>
        <w:jc w:val="left"/>
      </w:pPr>
      <w:r>
        <w:rPr>
          <w:rFonts w:ascii="Arial" w:cs="Arial" w:eastAsia="Arial" w:hAnsi="Arial"/>
          <w:b w:val="false"/>
          <w:bCs w:val="false"/>
          <w:i w:val="false"/>
          <w:iCs w:val="false"/>
          <w:color w:val="1F2328"/>
          <w:sz w:val="20"/>
          <w:szCs w:val="20"/>
        </w:rPr>
        <w:t xml:space="preserve">Funksiyanın biznes dəyəri məhz autentifikasiya tələb etməməsindədir — əks halda işəgötürən sertifikatı yoxlaya bilməz və funksiya mənasını itirir.</w:t>
      </w:r>
    </w:p>
    <w:p>
      <w:pPr>
        <w:spacing w:after="120" w:before="60" w:line="276" w:lineRule="auto"/>
        <w:jc w:val="left"/>
      </w:pPr>
      <w:r>
        <w:rPr>
          <w:rFonts w:ascii="Arial" w:cs="Arial" w:eastAsia="Arial" w:hAnsi="Arial"/>
          <w:b w:val="false"/>
          <w:bCs w:val="false"/>
          <w:i w:val="false"/>
          <w:iCs w:val="false"/>
          <w:color w:val="1F2328"/>
          <w:sz w:val="20"/>
          <w:szCs w:val="20"/>
        </w:rPr>
        <w:t xml:space="preserve">Təhlükəsizlik autentifikasiya ilə deyil, qaytarılan məlumatın məhdudlaşdırılması ilə təmin olunur: RLS ISSUED olmayan sertifikatları gizlədir və şəxsi tələbə məlumatları response-a daxil edilmir.</w:t>
      </w:r>
    </w:p>
    <w:p>
      <w:pPr>
        <w:pStyle w:val="Heading2"/>
        <w:keepNext/>
        <w:spacing w:after="120" w:before="300"/>
      </w:pPr>
      <w:r>
        <w:rPr>
          <w:rFonts w:ascii="Arial" w:cs="Arial" w:eastAsia="Arial" w:hAnsi="Arial"/>
          <w:b/>
          <w:bCs/>
          <w:color w:val="1F2328"/>
          <w:sz w:val="24"/>
          <w:szCs w:val="24"/>
        </w:rPr>
        <w:t xml:space="preserve">DR-08.4 Nəticələr və trade-off</w:t>
      </w:r>
    </w:p>
    <w:p>
      <w:pPr>
        <w:keepNext/>
        <w:spacing w:after="80" w:before="220"/>
      </w:pPr>
      <w:r>
        <w:rPr>
          <w:rFonts w:ascii="Arial" w:cs="Arial" w:eastAsia="Arial" w:hAnsi="Arial"/>
          <w:b/>
          <w:bCs/>
          <w:color w:val="1F2328"/>
          <w:spacing w:val="8"/>
          <w:sz w:val="20"/>
          <w:szCs w:val="20"/>
        </w:rPr>
        <w:t xml:space="preserve">Müsbət nəticələr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Üçüncü tərəf hesab yaratmadan yoxlama apara bilir.</w:t>
      </w:r>
    </w:p>
    <w:p>
      <w:pPr>
        <w:keepNext/>
        <w:spacing w:after="80" w:before="220"/>
      </w:pPr>
      <w:r>
        <w:rPr>
          <w:rFonts w:ascii="Arial" w:cs="Arial" w:eastAsia="Arial" w:hAnsi="Arial"/>
          <w:b/>
          <w:bCs/>
          <w:color w:val="1F2328"/>
          <w:spacing w:val="8"/>
          <w:sz w:val="20"/>
          <w:szCs w:val="20"/>
        </w:rPr>
        <w:t xml:space="preserve">Qəbul edilmiş güzəştlər</w:t>
      </w:r>
    </w:p>
    <w:p>
      <w:pPr>
        <w:pStyle w:val="ListParagraph"/>
        <w:numPr>
          <w:ilvl w:val="0"/>
          <w:numId w:val="2"/>
        </w:numPr>
        <w:spacing w:after="80" w:before="40" w:line="276" w:lineRule="auto"/>
      </w:pPr>
      <w:r>
        <w:rPr>
          <w:rFonts w:ascii="Arial" w:cs="Arial" w:eastAsia="Arial" w:hAnsi="Arial"/>
          <w:b w:val="false"/>
          <w:bCs w:val="false"/>
          <w:i w:val="false"/>
          <w:iCs w:val="false"/>
          <w:color w:val="1F2328"/>
          <w:sz w:val="20"/>
          <w:szCs w:val="20"/>
        </w:rPr>
        <w:t xml:space="preserve">Endpoint public olduğundan verification code-ların ardıcıl sınanması (brute-force) mümkündür; rate limiting və kodun kifayət qədər entropiyaya malik olması tələb olunur.</w:t>
      </w:r>
    </w:p>
    <w:p>
      <w:pPr>
        <w:spacing w:after="120" w:before="0"/>
      </w:pPr>
      <w:r>
        <w:rPr>
          <w:rFonts w:ascii="Arial" w:cs="Arial" w:eastAsia="Arial" w:hAnsi="Arial"/>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Qeyd:</w:t>
            </w:r>
            <w:r>
              <w:rPr>
                <w:rFonts w:ascii="Arial" w:cs="Arial" w:eastAsia="Arial" w:hAnsi="Arial"/>
                <w:color w:val="1F2328"/>
                <w:sz w:val="19"/>
                <w:szCs w:val="19"/>
              </w:rPr>
              <w:t xml:space="preserve"> Status “Şərti” olaraq qeyd olunub, çünki BRD Bölmə 2.6-dakı Q4 açıq sualı — public istifadəçiyə hansı sahələrin göstərilməsi — Business Owner tərəfindən hələ təsdiqlənməyib. Rate limiting tələbi də sənədləşdirilməyib; Gap Register-ə baxın.</w:t>
            </w:r>
          </w:p>
        </w:tc>
      </w:tr>
    </w:tbl>
    <w:p>
      <w:pPr>
        <w:spacing w:after="0" w:before="0" w:line="120" w:lineRule="auto"/>
      </w:pPr>
      <w:r>
        <w:rPr>
          <w:rFonts w:ascii="Arial" w:cs="Arial" w:eastAsia="Arial" w:hAnsi="Arial"/>
          <w:sz w:val="10"/>
          <w:szCs w:val="10"/>
        </w:rPr>
        <w:t xml:space="preserve"/>
      </w:r>
    </w:p>
    <w:p>
      <w:r>
        <w:br w:type="page"/>
      </w:r>
    </w:p>
    <w:p>
      <w:pPr>
        <w:pStyle w:val="Heading1"/>
        <w:keepNext/>
        <w:pBdr>
          <w:bottom w:val="single" w:color="E8A317" w:sz="12" w:space="6"/>
        </w:pBdr>
        <w:spacing w:after="160" w:before="360"/>
      </w:pPr>
      <w:r>
        <w:rPr>
          <w:rFonts w:ascii="Arial" w:cs="Arial" w:eastAsia="Arial" w:hAnsi="Arial"/>
          <w:b/>
          <w:bCs/>
          <w:color w:val="A9720A"/>
          <w:sz w:val="30"/>
          <w:szCs w:val="30"/>
        </w:rPr>
        <w:t xml:space="preserve">Qərarların xülasəsi</w:t>
      </w:r>
    </w:p>
    <w:p>
      <w:pPr>
        <w:spacing w:after="120" w:before="60" w:line="276" w:lineRule="auto"/>
        <w:jc w:val="left"/>
      </w:pPr>
      <w:r>
        <w:rPr>
          <w:rFonts w:ascii="Arial" w:cs="Arial" w:eastAsia="Arial" w:hAnsi="Arial"/>
          <w:b w:val="false"/>
          <w:bCs w:val="false"/>
          <w:i w:val="false"/>
          <w:iCs w:val="false"/>
          <w:color w:val="1F2328"/>
          <w:sz w:val="20"/>
          <w:szCs w:val="20"/>
        </w:rPr>
        <w:t xml:space="preserve">Aşağıdakı cədvəl bütün qərarları, onların əhatə etdiyi sahəni və əlaqəli tələbləri bir yerdə göstərir.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700"/>
        <w:gridCol w:w="1500"/>
        <w:gridCol w:w="2438"/>
      </w:tblGrid>
      <w:tr>
        <w:trPr>
          <w:tblHeader/>
        </w:trPr>
        <w:tc>
          <w:tcPr>
            <w:tcW w:type="dxa" w:w="9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ID</w:t>
            </w:r>
          </w:p>
        </w:tc>
        <w:tc>
          <w:tcPr>
            <w:tcW w:type="dxa" w:w="31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Qərar</w:t>
            </w:r>
          </w:p>
        </w:tc>
        <w:tc>
          <w:tcPr>
            <w:tcW w:type="dxa" w:w="17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Sahə</w:t>
            </w:r>
          </w:p>
        </w:tc>
        <w:tc>
          <w:tcPr>
            <w:tcW w:type="dxa" w:w="1500"/>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Status</w:t>
            </w:r>
          </w:p>
        </w:tc>
        <w:tc>
          <w:tcPr>
            <w:tcW w:type="dxa" w:w="2438"/>
            <w:tcBorders>
              <w:top w:val="single" w:color="DCE0E5" w:sz="2"/>
              <w:left w:val="single" w:color="DCE0E5" w:sz="2"/>
              <w:bottom w:val="single" w:color="DCE0E5" w:sz="2"/>
              <w:right w:val="single" w:color="DCE0E5" w:sz="2"/>
            </w:tcBorders>
            <w:shd w:fill="E8A317" w:color="auto" w:val="clear"/>
            <w:tcMar>
              <w:top w:type="dxa" w:w="90"/>
              <w:left w:type="dxa" w:w="120"/>
              <w:bottom w:type="dxa" w:w="90"/>
              <w:right w:type="dxa" w:w="120"/>
            </w:tcMar>
            <w:vAlign w:val="center"/>
          </w:tcPr>
          <w:p>
            <w:pPr>
              <w:spacing w:after="0" w:before="0"/>
            </w:pPr>
            <w:r>
              <w:rPr>
                <w:rFonts w:ascii="Arial" w:cs="Arial" w:eastAsia="Arial" w:hAnsi="Arial"/>
                <w:b/>
                <w:bCs/>
                <w:color w:val="FFFFFF"/>
                <w:sz w:val="19"/>
                <w:szCs w:val="19"/>
              </w:rPr>
              <w:t xml:space="preserve">İzlənilirlik</w:t>
            </w:r>
          </w:p>
        </w:tc>
      </w:tr>
      <w:tr>
        <w:tc>
          <w:tcPr>
            <w:tcW w:type="dxa" w:w="9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DR-01</w:t>
            </w:r>
          </w:p>
        </w:tc>
        <w:tc>
          <w:tcPr>
            <w:tcW w:type="dxa" w:w="31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Soft delete — ARCHIVED / DISABLED</w:t>
            </w:r>
          </w:p>
        </w:tc>
        <w:tc>
          <w:tcPr>
            <w:tcW w:type="dxa" w:w="17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Data model</w:t>
            </w:r>
          </w:p>
        </w:tc>
        <w:tc>
          <w:tcPr>
            <w:tcW w:type="dxa" w:w="1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Qəbul edilib</w:t>
            </w:r>
          </w:p>
        </w:tc>
        <w:tc>
          <w:tcPr>
            <w:tcW w:type="dxa" w:w="24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BR-005, BR-029, AC-03</w:t>
            </w:r>
          </w:p>
        </w:tc>
      </w:tr>
      <w:tr>
        <w:tc>
          <w:tcPr>
            <w:tcW w:type="dxa" w:w="9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DR-02</w:t>
            </w:r>
          </w:p>
        </w:tc>
        <w:tc>
          <w:tcPr>
            <w:tcW w:type="dxa" w:w="31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Authorization iki təbəqədə — middleware + RLS</w:t>
            </w:r>
          </w:p>
        </w:tc>
        <w:tc>
          <w:tcPr>
            <w:tcW w:type="dxa" w:w="17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Security</w:t>
            </w:r>
          </w:p>
        </w:tc>
        <w:tc>
          <w:tcPr>
            <w:tcW w:type="dxa" w:w="1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Qəbul edilib</w:t>
            </w:r>
          </w:p>
        </w:tc>
        <w:tc>
          <w:tcPr>
            <w:tcW w:type="dxa" w:w="24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BR-026, BR-027, EC-06</w:t>
            </w:r>
          </w:p>
        </w:tc>
      </w:tr>
      <w:tr>
        <w:tc>
          <w:tcPr>
            <w:tcW w:type="dxa" w:w="9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DR-03</w:t>
            </w:r>
          </w:p>
        </w:tc>
        <w:tc>
          <w:tcPr>
            <w:tcW w:type="dxa" w:w="31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Capacity yoxlanışı atomik tranzaksiyada</w:t>
            </w:r>
          </w:p>
        </w:tc>
        <w:tc>
          <w:tcPr>
            <w:tcW w:type="dxa" w:w="17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Concurrency</w:t>
            </w:r>
          </w:p>
        </w:tc>
        <w:tc>
          <w:tcPr>
            <w:tcW w:type="dxa" w:w="1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Qəbul edilib</w:t>
            </w:r>
          </w:p>
        </w:tc>
        <w:tc>
          <w:tcPr>
            <w:tcW w:type="dxa" w:w="24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BR-007, BR-008, EC-01</w:t>
            </w:r>
          </w:p>
        </w:tc>
      </w:tr>
      <w:tr>
        <w:tc>
          <w:tcPr>
            <w:tcW w:type="dxa" w:w="9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DR-04</w:t>
            </w:r>
          </w:p>
        </w:tc>
        <w:tc>
          <w:tcPr>
            <w:tcW w:type="dxa" w:w="31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Status keçidləri PATCH ilə</w:t>
            </w:r>
          </w:p>
        </w:tc>
        <w:tc>
          <w:tcPr>
            <w:tcW w:type="dxa" w:w="17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API design</w:t>
            </w:r>
          </w:p>
        </w:tc>
        <w:tc>
          <w:tcPr>
            <w:tcW w:type="dxa" w:w="1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Qəbul edilib</w:t>
            </w:r>
          </w:p>
        </w:tc>
        <w:tc>
          <w:tcPr>
            <w:tcW w:type="dxa" w:w="24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BR-005, BR-010, BR-024</w:t>
            </w:r>
          </w:p>
        </w:tc>
      </w:tr>
      <w:tr>
        <w:tc>
          <w:tcPr>
            <w:tcW w:type="dxa" w:w="9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DR-05</w:t>
            </w:r>
          </w:p>
        </w:tc>
        <w:tc>
          <w:tcPr>
            <w:tcW w:type="dxa" w:w="31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Status sahələri ENUM tipində</w:t>
            </w:r>
          </w:p>
        </w:tc>
        <w:tc>
          <w:tcPr>
            <w:tcW w:type="dxa" w:w="17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Data model</w:t>
            </w:r>
          </w:p>
        </w:tc>
        <w:tc>
          <w:tcPr>
            <w:tcW w:type="dxa" w:w="1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Qəbul edilib</w:t>
            </w:r>
          </w:p>
        </w:tc>
        <w:tc>
          <w:tcPr>
            <w:tcW w:type="dxa" w:w="24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BR-004, BR-010, BR-024</w:t>
            </w:r>
          </w:p>
        </w:tc>
      </w:tr>
      <w:tr>
        <w:tc>
          <w:tcPr>
            <w:tcW w:type="dxa" w:w="9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DR-06</w:t>
            </w:r>
          </w:p>
        </w:tc>
        <w:tc>
          <w:tcPr>
            <w:tcW w:type="dxa" w:w="31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UUID primary key</w:t>
            </w:r>
          </w:p>
        </w:tc>
        <w:tc>
          <w:tcPr>
            <w:tcW w:type="dxa" w:w="17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Data model</w:t>
            </w:r>
          </w:p>
        </w:tc>
        <w:tc>
          <w:tcPr>
            <w:tcW w:type="dxa" w:w="1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Qəbul edilib</w:t>
            </w:r>
          </w:p>
        </w:tc>
        <w:tc>
          <w:tcPr>
            <w:tcW w:type="dxa" w:w="24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BR-023, BR-027</w:t>
            </w:r>
          </w:p>
        </w:tc>
      </w:tr>
      <w:tr>
        <w:tc>
          <w:tcPr>
            <w:tcW w:type="dxa" w:w="9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DR-07</w:t>
            </w:r>
          </w:p>
        </w:tc>
        <w:tc>
          <w:tcPr>
            <w:tcW w:type="dxa" w:w="31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Prerequisite self-referencing FK</w:t>
            </w:r>
          </w:p>
        </w:tc>
        <w:tc>
          <w:tcPr>
            <w:tcW w:type="dxa" w:w="17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Data model</w:t>
            </w:r>
          </w:p>
        </w:tc>
        <w:tc>
          <w:tcPr>
            <w:tcW w:type="dxa" w:w="1500"/>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Qəbul edilib</w:t>
            </w:r>
          </w:p>
        </w:tc>
        <w:tc>
          <w:tcPr>
            <w:tcW w:type="dxa" w:w="2438"/>
            <w:tcBorders>
              <w:top w:val="single" w:color="DCE0E5" w:sz="2"/>
              <w:left w:val="single" w:color="DCE0E5" w:sz="2"/>
              <w:bottom w:val="single" w:color="DCE0E5" w:sz="2"/>
              <w:right w:val="single" w:color="DCE0E5" w:sz="2"/>
            </w:tcBorders>
            <w:shd w:fill="FFFFFF"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BR-009, EC-04, AC-06</w:t>
            </w:r>
          </w:p>
        </w:tc>
      </w:tr>
      <w:tr>
        <w:tc>
          <w:tcPr>
            <w:tcW w:type="dxa" w:w="9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DR-08</w:t>
            </w:r>
          </w:p>
        </w:tc>
        <w:tc>
          <w:tcPr>
            <w:tcW w:type="dxa" w:w="31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Certificate verification public</w:t>
            </w:r>
          </w:p>
        </w:tc>
        <w:tc>
          <w:tcPr>
            <w:tcW w:type="dxa" w:w="17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val="false"/>
                <w:bCs w:val="false"/>
                <w:i w:val="false"/>
                <w:iCs w:val="false"/>
                <w:color w:val="1F2328"/>
                <w:sz w:val="19"/>
                <w:szCs w:val="19"/>
              </w:rPr>
              <w:t xml:space="preserve">Security</w:t>
            </w:r>
          </w:p>
        </w:tc>
        <w:tc>
          <w:tcPr>
            <w:tcW w:type="dxa" w:w="1500"/>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Arial" w:cs="Arial" w:eastAsia="Arial" w:hAnsi="Arial"/>
                <w:b/>
                <w:bCs/>
                <w:i w:val="false"/>
                <w:iCs w:val="false"/>
                <w:color w:val="5C6370"/>
                <w:sz w:val="19"/>
                <w:szCs w:val="19"/>
              </w:rPr>
              <w:t xml:space="preserve">Şərti</w:t>
            </w:r>
          </w:p>
        </w:tc>
        <w:tc>
          <w:tcPr>
            <w:tcW w:type="dxa" w:w="2438"/>
            <w:tcBorders>
              <w:top w:val="single" w:color="DCE0E5" w:sz="2"/>
              <w:left w:val="single" w:color="DCE0E5" w:sz="2"/>
              <w:bottom w:val="single" w:color="DCE0E5" w:sz="2"/>
              <w:right w:val="single" w:color="DCE0E5" w:sz="2"/>
            </w:tcBorders>
            <w:shd w:fill="FDF8EE" w:color="auto" w:val="clear"/>
            <w:tcMar>
              <w:top w:type="dxa" w:w="80"/>
              <w:left w:type="dxa" w:w="120"/>
              <w:bottom w:type="dxa" w:w="80"/>
              <w:right w:type="dxa" w:w="120"/>
            </w:tcMar>
            <w:vAlign w:val="center"/>
          </w:tcPr>
          <w:p>
            <w:pPr>
              <w:spacing w:after="0" w:before="0" w:line="260" w:lineRule="auto"/>
              <w:jc w:val="left"/>
            </w:pPr>
            <w:r>
              <w:rPr>
                <w:rFonts w:ascii="Courier New" w:cs="Courier New" w:eastAsia="Courier New" w:hAnsi="Courier New"/>
                <w:b w:val="false"/>
                <w:bCs w:val="false"/>
                <w:i w:val="false"/>
                <w:iCs w:val="false"/>
                <w:color w:val="1F2328"/>
                <w:sz w:val="17"/>
                <w:szCs w:val="17"/>
              </w:rPr>
              <w:t xml:space="preserve">BR-023, Q4, C-05</w:t>
            </w:r>
          </w:p>
        </w:tc>
      </w:tr>
    </w:tbl>
    <w:p>
      <w:pPr>
        <w:spacing w:after="0" w:before="0" w:line="120" w:lineRule="auto"/>
      </w:pPr>
      <w:r>
        <w:rPr>
          <w:rFonts w:ascii="Arial" w:cs="Arial" w:eastAsia="Arial" w:hAnsi="Arial"/>
          <w:sz w:val="10"/>
          <w:szCs w:val="10"/>
        </w:rPr>
        <w:t xml:space="preserve"/>
      </w:r>
    </w:p>
    <w:p>
      <w:pPr>
        <w:spacing w:after="200" w:before="0"/>
      </w:pPr>
      <w:r>
        <w:rPr>
          <w:rFonts w:ascii="Arial" w:cs="Arial" w:eastAsia="Arial" w:hAnsi="Arial"/>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A317" w:sz="18"/>
              <w:bottom w:val="none" w:color="FFFFFF" w:sz="0"/>
              <w:right w:val="none" w:color="FFFFFF" w:sz="0"/>
            </w:tcBorders>
            <w:shd w:fill="FDF3DC" w:color="auto" w:val="clear"/>
            <w:tcMar>
              <w:top w:type="dxa" w:w="130"/>
              <w:left w:type="dxa" w:w="180"/>
              <w:bottom w:type="dxa" w:w="130"/>
              <w:right w:type="dxa" w:w="160"/>
            </w:tcMar>
          </w:tcPr>
          <w:p>
            <w:pPr>
              <w:spacing w:after="0" w:before="0" w:line="260" w:lineRule="auto"/>
            </w:pPr>
            <w:r>
              <w:rPr>
                <w:rFonts w:ascii="Arial" w:cs="Arial" w:eastAsia="Arial" w:hAnsi="Arial"/>
                <w:b/>
                <w:bCs/>
                <w:color w:val="A9720A"/>
                <w:sz w:val="19"/>
                <w:szCs w:val="19"/>
              </w:rPr>
              <w:t xml:space="preserve">Növbəti addım:</w:t>
            </w:r>
            <w:r>
              <w:rPr>
                <w:rFonts w:ascii="Arial" w:cs="Arial" w:eastAsia="Arial" w:hAnsi="Arial"/>
                <w:color w:val="1F2328"/>
                <w:sz w:val="19"/>
                <w:szCs w:val="19"/>
              </w:rPr>
              <w:t xml:space="preserve"> DR-08 qərarının statusu Business Owner Q4 açıq sualını cavablandırdıqdan sonra “Qəbul edilib” olaraq yenilənməlidir. Yeni qərarlar bu sənədə DR-09 ardıcıllığı ilə əlavə edilir; mövcud qərar dəyişdirilirsə, köhnə qeyd silinmir — statusu “Əvəzlənib” olaraq işarələnir və yeni qərara istinad verilir.</w:t>
            </w:r>
          </w:p>
        </w:tc>
      </w:tr>
    </w:tbl>
    <w:p>
      <w:pPr>
        <w:spacing w:after="0" w:before="0" w:line="120" w:lineRule="auto"/>
      </w:pPr>
      <w:r>
        <w:rPr>
          <w:rFonts w:ascii="Arial" w:cs="Arial" w:eastAsia="Arial" w:hAnsi="Arial"/>
          <w:sz w:val="10"/>
          <w:szCs w:val="10"/>
        </w:rPr>
        <w:t xml:space="preserve"/>
      </w:r>
    </w:p>
    <w:sectPr>
      <w:headerReference w:type="default" r:id="rId7"/>
      <w:headerReference w:type="first" r:id="rId8"/>
      <w:footerReference w:type="default" r:id="rId9"/>
      <w:footerReference w:type="first" r:id="rId10"/>
      <w:pgSz w:w="11906" w:h="16838" w:orient="portrait"/>
      <w:pgMar w:top="1134" w:right="1134" w:bottom="1134" w:left="1134" w:header="680" w:footer="6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Arial" w:cs="Arial" w:eastAsia="Arial" w:hAnsi="Arial"/>
        <w:b/>
        <w:bCs/>
        <w:color w:val="A9720A"/>
        <w:sz w:val="16"/>
        <w:szCs w:val="16"/>
      </w:rPr>
      <w:fldChar w:fldCharType="begin"/>
      <w:instrText xml:space="preserve">PAGE</w:instrText>
      <w:fldChar w:fldCharType="separate"/>
      <w:fldChar w:fldCharType="end"/>
    </w:r>
    <w:r>
      <w:rPr>
        <w:rFonts w:ascii="Arial" w:cs="Arial" w:eastAsia="Arial" w:hAnsi="Arial"/>
        <w:color w:val="8A929C"/>
        <w:sz w:val="16"/>
        <w:szCs w:val="16"/>
      </w:rPr>
      <w:t xml:space="preserve"> / </w:t>
    </w:r>
    <w:r>
      <w:rPr>
        <w:rFonts w:ascii="Arial" w:cs="Arial" w:eastAsia="Arial" w:hAnsi="Arial"/>
        <w:color w:val="5C637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317" w:sz="4" w:space="6"/>
      </w:pBdr>
      <w:tabs>
        <w:tab w:val="right" w:pos="9638"/>
      </w:tabs>
      <w:spacing w:after="0"/>
    </w:pPr>
    <w:r>
      <w:rPr>
        <w:rFonts w:ascii="Arial" w:cs="Arial" w:eastAsia="Arial" w:hAnsi="Arial"/>
        <w:color w:val="5C6370"/>
        <w:sz w:val="16"/>
        <w:szCs w:val="16"/>
      </w:rPr>
      <w:t xml:space="preserve">SmartEdu — Decision Log (ADR)</w:t>
    </w:r>
    <w:r>
      <w:rPr>
        <w:rFonts w:ascii="Arial" w:cs="Arial" w:eastAsia="Arial" w:hAnsi="Arial"/>
        <w:color w:val="8A929C"/>
        <w:sz w:val="16"/>
        <w:szCs w:val="16"/>
      </w:rPr>
      <w:t xml:space="preserve">	Versiya 1.0  ·  Avqust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b/>
        <w:bCs/>
        <w:color w:val="E8A3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lineRule="auto"/>
    </w:pPr>
    <w:rPr>
      <w:rFonts w:ascii="Arial" w:cs="Arial" w:eastAsia="Arial" w:hAnsi="Arial"/>
      <w:color w:val="1F232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SmartEdu — Decision Log (ADR)</dc:title>
  <dc:creator>SmartEdu Project Team</dc:creator>
  <dc:description>Architecture and design decision records</dc:description>
  <cp:lastModifiedBy>Un-named</cp:lastModifiedBy>
  <cp:revision>1</cp:revision>
  <dcterms:created xsi:type="dcterms:W3CDTF">2026-08-13T08:25:56.693Z</dcterms:created>
  <dcterms:modified xsi:type="dcterms:W3CDTF">2026-08-13T08:25:56.693Z</dcterms:modified>
</cp:coreProperties>
</file>

<file path=docProps/custom.xml><?xml version="1.0" encoding="utf-8"?>
<Properties xmlns="http://schemas.openxmlformats.org/officeDocument/2006/custom-properties" xmlns:vt="http://schemas.openxmlformats.org/officeDocument/2006/docPropsVTypes"/>
</file>