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A9720A"/>
          <w:sz w:val="68"/>
          <w:szCs w:val="68"/>
        </w:rPr>
        <w:t xml:space="preserve">SmartEdu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C6370"/>
          <w:sz w:val="24"/>
          <w:szCs w:val="24"/>
        </w:rPr>
        <w:t xml:space="preserve">Digital Course &amp; Certification Management Platform</w:t>
      </w:r>
    </w:p>
    <w:p>
      <w:pPr>
        <w:pBdr>
          <w:top w:val="single" w:color="E8A317" w:sz="18" w:space="10"/>
        </w:pBdr>
        <w:spacing w:after="200" w:before="0"/>
      </w:pPr>
      <w:r>
        <w:rPr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2328"/>
          <w:spacing w:val="30"/>
          <w:sz w:val="40"/>
          <w:szCs w:val="40"/>
        </w:rPr>
        <w:t xml:space="preserve">GAP REGISTER</w:t>
      </w:r>
    </w:p>
    <w:p>
      <w:pPr>
        <w:spacing w:after="520" w:before="0"/>
      </w:pPr>
      <w:r>
        <w:rPr>
          <w:rFonts w:ascii="Arial" w:cs="Arial" w:eastAsia="Arial" w:hAnsi="Arial"/>
          <w:color w:val="5C6370"/>
          <w:sz w:val="20"/>
          <w:szCs w:val="20"/>
        </w:rPr>
        <w:t xml:space="preserve">Artefaktlar arasındakı boşluqlar, açıq suallar və bağlanma planı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single" w:color="DCE0E5" w:sz="2"/>
              <w:left w:val="single" w:color="E8A317" w:sz="14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Layihə</w:t>
            </w:r>
          </w:p>
        </w:tc>
        <w:tc>
          <w:tcPr>
            <w:tcW w:type="dxa" w:w="69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SmartEdu — Digital Course &amp; Certification Management Platform</w:t>
            </w:r>
          </w:p>
        </w:tc>
      </w:tr>
      <w:tr>
        <w:tc>
          <w:tcPr>
            <w:tcW w:type="dxa" w:w="2700"/>
            <w:tcBorders>
              <w:top w:val="single" w:color="DCE0E5" w:sz="2"/>
              <w:left w:val="single" w:color="E8A317" w:sz="14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Sənəd növü</w:t>
            </w:r>
          </w:p>
        </w:tc>
        <w:tc>
          <w:tcPr>
            <w:tcW w:type="dxa" w:w="69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Gap Register / Open Items Log</w:t>
            </w:r>
          </w:p>
        </w:tc>
      </w:tr>
      <w:tr>
        <w:tc>
          <w:tcPr>
            <w:tcW w:type="dxa" w:w="2700"/>
            <w:tcBorders>
              <w:top w:val="single" w:color="DCE0E5" w:sz="2"/>
              <w:left w:val="single" w:color="E8A317" w:sz="14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Versiya</w:t>
            </w:r>
          </w:p>
        </w:tc>
        <w:tc>
          <w:tcPr>
            <w:tcW w:type="dxa" w:w="69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700"/>
            <w:tcBorders>
              <w:top w:val="single" w:color="DCE0E5" w:sz="2"/>
              <w:left w:val="single" w:color="E8A317" w:sz="14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Tarix</w:t>
            </w:r>
          </w:p>
        </w:tc>
        <w:tc>
          <w:tcPr>
            <w:tcW w:type="dxa" w:w="69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Avqust 2026</w:t>
            </w:r>
          </w:p>
        </w:tc>
      </w:tr>
      <w:tr>
        <w:tc>
          <w:tcPr>
            <w:tcW w:type="dxa" w:w="2700"/>
            <w:tcBorders>
              <w:top w:val="single" w:color="DCE0E5" w:sz="2"/>
              <w:left w:val="single" w:color="E8A317" w:sz="14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Boşluq sayı</w:t>
            </w:r>
          </w:p>
        </w:tc>
        <w:tc>
          <w:tcPr>
            <w:tcW w:type="dxa" w:w="69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14 qeyd (GAP-01 … GAP-14)</w:t>
            </w:r>
          </w:p>
        </w:tc>
      </w:tr>
      <w:tr>
        <w:tc>
          <w:tcPr>
            <w:tcW w:type="dxa" w:w="2700"/>
            <w:tcBorders>
              <w:top w:val="single" w:color="DCE0E5" w:sz="2"/>
              <w:left w:val="single" w:color="E8A317" w:sz="14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Mənbə</w:t>
            </w:r>
          </w:p>
        </w:tc>
        <w:tc>
          <w:tcPr>
            <w:tcW w:type="dxa" w:w="69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BRD v1.1 RTM · Bölmə 2.6 · Risk Register · Texniki Sənəd Paketi</w:t>
            </w:r>
          </w:p>
        </w:tc>
      </w:tr>
    </w:tbl>
    <w:p>
      <w:pPr>
        <w:spacing w:after="0" w:before="0" w:line="12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8A317" w:sz="18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b/>
                <w:bCs/>
                <w:color w:val="A9720A"/>
                <w:sz w:val="19"/>
                <w:szCs w:val="19"/>
              </w:rPr>
              <w:t xml:space="preserve">Sənədin məqsədi:</w:t>
            </w: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 Bu sənəd SmartEdu layihəsinin artefaktları arasındakı bilinən boşluqları, sənədləşdirilməmiş sahələri və biznes qərarı gözləyən açıq sualları bir yerdə qeyd edir. Boşluqların əksəriyyəti layihənin öz Requirements Traceability Matrix-i və BRD Bölmə 2.6 tərəfindən artıq aşkarlanıb; bu sənəd onları vahid registrdə toplayır və hər biri üçün sahib, təsir və bağlanma planı müəyyən edir.</w:t>
            </w:r>
          </w:p>
        </w:tc>
      </w:tr>
    </w:tbl>
    <w:p>
      <w:pPr>
        <w:spacing w:after="0" w:before="0" w:line="12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E8A317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A9720A"/>
          <w:sz w:val="30"/>
          <w:szCs w:val="30"/>
        </w:rPr>
        <w:t xml:space="preserve">1. Metodologiya və təsnifat</w:t>
      </w:r>
    </w:p>
    <w:p>
      <w:pPr>
        <w:spacing w:after="12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0"/>
          <w:szCs w:val="20"/>
        </w:rPr>
        <w:t xml:space="preserve">Boşluqlar dörd kateqoriyaya bölünür. Kateqoriya boşluğun mahiyyətini deyil, onu kimin bağlaya biləcəyini göstərir — bu, bağlanma planının sahibini müəyyən edir.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38"/>
        <w:gridCol w:w="2000"/>
      </w:tblGrid>
      <w:tr>
        <w:trPr>
          <w:tblHeader/>
        </w:trPr>
        <w:tc>
          <w:tcPr>
            <w:tcW w:type="dxa" w:w="2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Kateqoriya</w:t>
            </w:r>
          </w:p>
        </w:tc>
        <w:tc>
          <w:tcPr>
            <w:tcW w:type="dxa" w:w="54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Nə deməkdir</w:t>
            </w:r>
          </w:p>
        </w:tc>
        <w:tc>
          <w:tcPr>
            <w:tcW w:type="dxa" w:w="2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Sahibi</w:t>
            </w:r>
          </w:p>
        </w:tc>
      </w:tr>
      <w:tr>
        <w:tc>
          <w:tcPr>
            <w:tcW w:type="dxa" w:w="2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Dokumentasiya</w:t>
            </w:r>
          </w:p>
        </w:tc>
        <w:tc>
          <w:tcPr>
            <w:tcW w:type="dxa" w:w="54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Funksionallıq data modelində və biznes qaydalarında mövcuddur, lakin API sənədində endpoint sənədləşdirilməyib.</w:t>
            </w:r>
          </w:p>
        </w:tc>
        <w:tc>
          <w:tcPr>
            <w:tcW w:type="dxa" w:w="2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IT Business Analyst</w:t>
            </w:r>
          </w:p>
        </w:tc>
      </w:tr>
      <w:tr>
        <w:tc>
          <w:tcPr>
            <w:tcW w:type="dxa" w:w="2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Biznes qərarı</w:t>
            </w:r>
          </w:p>
        </w:tc>
        <w:tc>
          <w:tcPr>
            <w:tcW w:type="dxa" w:w="54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Tələb tam müəyyən edilməyib; qərar Business Owner tərəfindən verilməlidir.</w:t>
            </w:r>
          </w:p>
        </w:tc>
        <w:tc>
          <w:tcPr>
            <w:tcW w:type="dxa" w:w="2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Business Owner</w:t>
            </w:r>
          </w:p>
        </w:tc>
      </w:tr>
      <w:tr>
        <w:tc>
          <w:tcPr>
            <w:tcW w:type="dxa" w:w="2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Texniki qərar</w:t>
            </w:r>
          </w:p>
        </w:tc>
        <w:tc>
          <w:tcPr>
            <w:tcW w:type="dxa" w:w="54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Həll yanaşması seçilməlidir; qərar texniki komanda tərəfindən verilir.</w:t>
            </w:r>
          </w:p>
        </w:tc>
        <w:tc>
          <w:tcPr>
            <w:tcW w:type="dxa" w:w="2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Technical Team</w:t>
            </w:r>
          </w:p>
        </w:tc>
      </w:tr>
      <w:tr>
        <w:tc>
          <w:tcPr>
            <w:tcW w:type="dxa" w:w="2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Artefakt tamlığı</w:t>
            </w:r>
          </w:p>
        </w:tc>
        <w:tc>
          <w:tcPr>
            <w:tcW w:type="dxa" w:w="54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Mövcud sənəddə çatışmayan və ya zədələnmiş element.</w:t>
            </w:r>
          </w:p>
        </w:tc>
        <w:tc>
          <w:tcPr>
            <w:tcW w:type="dxa" w:w="2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IT Business Analyst</w:t>
            </w:r>
          </w:p>
        </w:tc>
      </w:tr>
    </w:tbl>
    <w:p>
      <w:pPr>
        <w:spacing w:after="0" w:before="0" w:line="12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1.1 Prioritet meyarları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Prioritet</w:t>
            </w:r>
          </w:p>
        </w:tc>
        <w:tc>
          <w:tcPr>
            <w:tcW w:type="dxa" w:w="78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Meyar</w:t>
            </w:r>
          </w:p>
        </w:tc>
      </w:tr>
      <w:tr>
        <w:tc>
          <w:tcPr>
            <w:tcW w:type="dxa" w:w="18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20A"/>
                <w:sz w:val="16"/>
                <w:szCs w:val="16"/>
              </w:rPr>
              <w:t xml:space="preserve">Yüksək</w:t>
            </w:r>
          </w:p>
        </w:tc>
        <w:tc>
          <w:tcPr>
            <w:tcW w:type="dxa" w:w="78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Boşluq bağlanmadan development başlaya bilməz və ya təhlükəsizlik / məlumat bütövlüyünə birbaşa təsir edir.</w:t>
            </w:r>
          </w:p>
        </w:tc>
      </w:tr>
      <w:tr>
        <w:tc>
          <w:tcPr>
            <w:tcW w:type="dxa" w:w="18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Orta</w:t>
            </w:r>
          </w:p>
        </w:tc>
        <w:tc>
          <w:tcPr>
            <w:tcW w:type="dxa" w:w="78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Development başlaya bilər, lakin boşluq həmin funksionallığın tam icrasını maneə törədir.</w:t>
            </w:r>
          </w:p>
        </w:tc>
      </w:tr>
      <w:tr>
        <w:tc>
          <w:tcPr>
            <w:tcW w:type="dxa" w:w="18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370"/>
                <w:sz w:val="16"/>
                <w:szCs w:val="16"/>
              </w:rPr>
              <w:t xml:space="preserve">Aşağı</w:t>
            </w:r>
          </w:p>
        </w:tc>
        <w:tc>
          <w:tcPr>
            <w:tcW w:type="dxa" w:w="78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Sənədin keyfiyyətinə təsir edir; funksional icraya maneə deyil.</w:t>
            </w:r>
          </w:p>
        </w:tc>
      </w:tr>
    </w:tbl>
    <w:p>
      <w:pPr>
        <w:spacing w:after="0" w:before="0" w:line="12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8A317" w:sz="18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b/>
                <w:bCs/>
                <w:color w:val="A9720A"/>
                <w:sz w:val="19"/>
                <w:szCs w:val="19"/>
              </w:rPr>
              <w:t xml:space="preserve">Vacib:</w:t>
            </w: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 Bu registrdəki boşluqların heç biri layihənin cari mərhələsinin uğursuzluğu demək deyil. Onların böyük hissəsi şüurlu şəkildə növbəti mərhələyə saxlanılmış qərarlardır. Registrin dəyəri boşluqların gizlədilməməsi və hər biri üçün sahibin təyin edilməsindədir.</w:t>
            </w:r>
          </w:p>
        </w:tc>
      </w:tr>
    </w:tbl>
    <w:p>
      <w:pPr>
        <w:spacing w:after="0" w:before="0" w:line="12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1134" w:bottom="1134" w:left="1134" w:header="680" w:footer="680" w:gutter="0"/>
          <w:pgNumType/>
          <w:titlePg/>
          <w:docGrid w:linePitch="360"/>
        </w:sectPr>
      </w:pPr>
    </w:p>
    <w:p>
      <w:pPr>
        <w:pStyle w:val="Heading1"/>
        <w:keepNext/>
        <w:pBdr>
          <w:bottom w:val="single" w:color="E8A317" w:sz="12" w:space="6"/>
        </w:pBdr>
        <w:spacing w:after="160" w:before="0" w:line="276" w:lineRule="auto"/>
      </w:pPr>
      <w:r>
        <w:rPr>
          <w:rFonts w:ascii="Arial" w:cs="Arial" w:eastAsia="Arial" w:hAnsi="Arial"/>
          <w:b/>
          <w:bCs/>
          <w:color w:val="A9720A"/>
          <w:sz w:val="30"/>
          <w:szCs w:val="30"/>
        </w:rPr>
        <w:t xml:space="preserve">2. Gap Register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420"/>
        <w:gridCol w:w="1900"/>
        <w:gridCol w:w="2020"/>
        <w:gridCol w:w="1250"/>
        <w:gridCol w:w="900"/>
        <w:gridCol w:w="2160"/>
        <w:gridCol w:w="2160"/>
        <w:gridCol w:w="1080"/>
        <w:gridCol w:w="920"/>
      </w:tblGrid>
      <w:tr>
        <w:trPr>
          <w:tblHeader/>
        </w:trP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Kateqoriya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Boşluğun təsviri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Aşkarlanma mənbəyi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İzlənilirlik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Prioritet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Təsiri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Bağlanma planı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Sahibi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GAP-01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Dokumentasiya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PATCH /course_instances endpoint-i sənədləşdirilməyib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BR-001 capacity dəyərinin dəyişdirilməsini nəzərdə tutur, lakin API sənədində müvafiq endpoint yoxdur.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BR-001, BR-002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FR-ADM-07, FR-ADM-08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TC-13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20A"/>
                <w:sz w:val="15"/>
                <w:szCs w:val="15"/>
              </w:rPr>
              <w:t xml:space="preserve">Yüksək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Course Instance parametrləri (capacity, tarixlər) yenilənə bilməz; DR-04 qərarı bu endpoint üçün tətbiq oluna bilmir.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API sənədinə PATCH /course_instances əlavə edilir; capacity azaldılması üçün 409 Conflict ssenarisi nümunə ilə sənədləşdirilir.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IT BA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GAP-02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Dokumentasiya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Teacher assignment endpoint-i sənədləşdirilməyib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BR-003 müəllimin Course Instance-a təyinatını tələb edir; API sənədində assignment əməliyyatı yoxdur.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BR-003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FR-ADM-04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TC-13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20A"/>
                <w:sz w:val="15"/>
                <w:szCs w:val="15"/>
              </w:rPr>
              <w:t xml:space="preserve">Yüksək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BR-026 (Teacher yalnız öz session-una daxil edə bilər) tətbiq oluna bilmir, çünki təyinatın necə yaradıldığı müəyyən deyil.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PATCH /course_instances üzərindən teacher_id təyinatı sənədləşdirilir; ACTIVE TEACHER rolu yoxlanışı validasiya kataloquna əlavə edilir.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IT BA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GAP-03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Dokumentasiya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User management endpoint-ləri API sənədində yoxdur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BR-028 və BR-029 istifadəçi yaradılması, rol təyinatı və deaktivləşdirməni tələb edir; API sənədində bu əməliyyatlar əks olunmayıb.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BR-028, BR-029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FR-ADM-02, FR-ADM-03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UAT-14, UAT-15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20A"/>
                <w:sz w:val="15"/>
                <w:szCs w:val="15"/>
              </w:rPr>
              <w:t xml:space="preserve">Yüksək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Administrator üçün əsas idarəetmə funksiyaları API səviyyəsində müəyyən edilməyib; UAT-14 və UAT-15 ssenariləri tam icra oluna bilmir.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POST / PATCH /users endpoint-ləri, rol dəyişikliyi üçün audit tələbi və DISABLED statusu ssenarisi sənədləşdirilir.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IT BA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GAP-04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Dokumentasiya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PATCH /certificates (REVOKED) sənədləşdirilməyib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BR-024 və BR-025 sertifikatın ISSUED və REVOKED statuslarına keçidini tələb edir; API sənədində bu endpoint yoxdur.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BR-024, BR-025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UAT-15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Orta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Səhvən verilmiş sertifikatın ləğvi prosesi texniki olaraq müəyyən deyil; DR-08 qərarının REVOKED filtri praktikada yoxlanıla bilmir.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PATCH /certificates endpoint-i, icazə verilən status keçidləri və ləğv səbəbinin audit log-da saxlanılması sənədləşdirilir.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IT BA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GAP-05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Dokumentasiya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Course OPEN validation nümunəsi yoxdur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BR-004 Course-un yalnız tələb olunan parametrlər təyin edildikdən sonra OPEN edilməsini tələb edir; PATCH /courses mövcuddur, lakin uğursuz validasiya nümunəsi verilməyib.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BR-004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FR-ADM-05, FR-ADM-06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TC-36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Orta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Natamam konfiqurasiya edilmiş Course-un OPEN edilməsi cəhdində sistemin davranışı sənəddən aydın olmur.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API sənədinə uğursuz OPEN cəhdi üçün 400 Bad Request nümunəsi əlavə edilir.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IT BA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GAP-06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Biznes qərarı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Enrollment ləğvinin son müddəti müəyyən edilməyib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BRD Bölmə 2.6, Q1: tələbənin qeydiyyatı ləğv edə biləcəyi son müddət necə müəyyən edilməlidir?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BR-010, BR-011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Q1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20A"/>
                <w:sz w:val="15"/>
                <w:szCs w:val="15"/>
              </w:rPr>
              <w:t xml:space="preserve">Yüksək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BR-010 ləğv əməliyyatını təsvir edir, lakin vaxt məhdudiyyəti olmadan tələbə kursun son günündə də ləğv edə bilər — capacity planlaması pozulur.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Business Owner cut-off qaydasını təsdiqləyir (məsələn start_date-dən əvvəl); qayda yeni BR kimi kataloqa əlavə edilir və validasiyaya salınır.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Business Owner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GAP-07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Biznes qərarı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FAILED nəticədən sonra yenidən qeydiyyat qaydası yoxdur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BRD Bölmə 2.6, Q3: FAILED nəticəsi alan tələbənin eyni kursu yenidən keçməsinə icazə veriləcəkmi?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BR-008, BR-016, BR-017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Q3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20A"/>
                <w:sz w:val="15"/>
                <w:szCs w:val="15"/>
              </w:rPr>
              <w:t xml:space="preserve">Yüksək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BR-008 eyni Course Instance üzrə ikinci ACTIVE enrollment-i qadağan edir. Yenidən keçmə icazəlidirsə, qaydanın hansı səviyyədə tətbiq olunduğu (instance, yoxsa course) dəqiqləşdirilməlidir.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Business Owner qərar verir; qərara uyğun olaraq BR-008-in əhatəsi və unique constraint-in tərkibi yenidən nəzərdən keçirilir.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Business Owner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GAP-08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Biznes qərarı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Public verification-da göstəriləcək sahələr təsdiqlənməyib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BRD Bölmə 2.6, Q4: certificate verification zamanı public istifadəçiyə hansı məlumatların göstərilməsinə icazə verilir?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BR-023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C-05, DR-08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20A"/>
                <w:sz w:val="15"/>
                <w:szCs w:val="15"/>
              </w:rPr>
              <w:t xml:space="preserve">Yüksək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DR-08 qərarı “Şərti” statusundadır. Response-da hansı sahələrin qaytarılacağı təsdiqlənmədən public endpoint-in tam spesifikasiyası bağlana bilməz.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Business Owner minimal sahə dəstini təsdiqləyir; API sənədində response nümunəsi həmin dəstə uyğunlaşdırılır.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Business Owner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GAP-09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Biznes qərarı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E-mail notification əhatəsi müəyyən edilməyib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BRD Bölmə 2.6, Q5: hansı proseslər üçün bildiriş göndərilməlidir?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Q5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D-06 (asılılıq)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370"/>
                <w:sz w:val="15"/>
                <w:szCs w:val="15"/>
              </w:rPr>
              <w:t xml:space="preserve">Aşağı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Bildiriş funksionallığı cari scope-da təsdiqlənməyib; qərar verilərsə, e-mail xidmətinin seçimi asılılıq kimi qeyd olunub.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Business Owner bildiriş siyahısını təsdiqləyir; təsdiqlənərsə, ayrıca funksional tələb və texniki asılılıq açılır.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Business Owner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GAP-10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Texniki qərar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E-certificate PDF saxlanma yeri seçilməyib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BRD Bölmə 2.6, Q2: PDF sistem daxilində, yoxsa ayrıca storage həllində saxlanılmalıdır?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Q2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CERTIFICATE.pdf_url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Orta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CERTIFICATE cədvəlində pdf_url sahəsi mövcuddur, lakin faylın harada saxlanılacağı və çıxış nəzarətinin necə tətbiq olunacağı müəyyən deyil.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Technical Team storage yanaşmasını seçir; seçim Decision Log-a yeni qərar (DR-09) kimi əlavə edilir.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Technical Team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GAP-11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Texniki qərar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Public endpoint üçün rate limiting tələbi sənədləşdirilməyib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DR-08 qərarında qeyd edilib: verification endpoint public olduğundan kodların ardıcıl sınanması mümkündür. Rate limiting və kod entropiyası tələbi heç bir sənəddə müəyyən edilməyib.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BR-023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DR-08, R-04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20A"/>
                <w:sz w:val="15"/>
                <w:szCs w:val="15"/>
              </w:rPr>
              <w:t xml:space="preserve">Yüksək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Verification code-ların brute-force yolu ilə tapılması cəhdinə qarşı müdafiə tədbiri müəyyən edilməyib.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Qeyri-funksional tələb kimi rate limiting əlavə edilir; verification_code formatı və entropiyası spesifikasiyada dəqiqləşdirilir.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Technical Team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GAP-12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Texniki qərar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Prerequisite kursun ARCHIVED edilməsi ssenarisi örtülməyib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DR-01 soft delete qərarı ilə DR-07 prerequisite qərarı kəsişir: prerequisite kimi istifadə olunan Course ARCHIVED edilərsə, ondan asılı kursların davranışı müəyyən deyil.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BR-005, BR-009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DR-01, DR-07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EC-04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Orta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Edge case kataloqunda bu ssenari yoxdur. Nəticədə tələbə keçmiş kursu artıq arxivdədirsə, prerequisite yoxlanışının nəticəsi qeyri-müəyyəndir.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Yeni edge case (EC) yaradılır və qayda dəqiqləşdirilir: arxivləşdirilmiş kurs üzrə keçmiş PASSED nəticə prerequisite üçün etibarlı sayılırmı.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IT BA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GAP-13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Artefakt tamlığı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Texniki Sənəd 5.4 — 5 ekran görüntüsü çatışmır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Real Error nümunələri bölməsində 401 (×2), 400, 403 və 404 üçün ekran görüntülərinin fayl bağlantıları qırıqdır.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Texniki Sənəd Bölmə 5.4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370"/>
                <w:sz w:val="15"/>
                <w:szCs w:val="15"/>
              </w:rPr>
              <w:t xml:space="preserve">Aşağı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Xəta ssenarilərinin real təsdiqi sənəddə vizual olaraq göstərilmir; mətn təsviri mövcuddur.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Postman ekran görüntüləri yenidən çəkilir və sənədə əlavə edilir.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IT BA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  <w:tr>
        <w:tc>
          <w:tcPr>
            <w:tcW w:type="dxa" w:w="7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GAP-14</w:t>
            </w:r>
          </w:p>
        </w:tc>
        <w:tc>
          <w:tcPr>
            <w:tcW w:type="dxa" w:w="14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5"/>
                <w:szCs w:val="15"/>
              </w:rPr>
              <w:t xml:space="preserve">Artefakt tamlığı</w:t>
            </w:r>
          </w:p>
        </w:tc>
        <w:tc>
          <w:tcPr>
            <w:tcW w:type="dxa" w:w="1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Success criteria ölçülə bilən şəkildə ifadə edilməyib</w:t>
            </w:r>
          </w:p>
        </w:tc>
        <w:tc>
          <w:tcPr>
            <w:tcW w:type="dxa" w:w="20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BRD Bölmə 1.6-da uğur meyarları “əhəmiyyətli dərəcədə azaldılması” kimi keyfiyyət ifadələri ilə verilib; baseline və hədəf dəyər müəyyən edilməyib.</w:t>
            </w:r>
          </w:p>
        </w:tc>
        <w:tc>
          <w:tcPr>
            <w:tcW w:type="dxa" w:w="125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BRD Bölmə 1.6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2328"/>
                <w:sz w:val="13"/>
                <w:szCs w:val="13"/>
              </w:rPr>
              <w:t xml:space="preserve">C-04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5"/>
                <w:szCs w:val="15"/>
              </w:rPr>
              <w:t xml:space="preserve">Orta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Layihənin uğuru obyektiv ölçülə bilmir. Numeric NFR-lərin Technical Design mərhələsində təsdiqlənməsi məhdudiyyət kimi qeyd olunub.</w:t>
            </w:r>
          </w:p>
        </w:tc>
        <w:tc>
          <w:tcPr>
            <w:tcW w:type="dxa" w:w="216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Hər meyar üçün baseline ölçmə metodu, metrik və hədəf dəyər Business Owner ilə birlikdə müəyyən edilir; ölçmə TO-BE tətbiqindən əvvəl aparılır.</w:t>
            </w:r>
          </w:p>
        </w:tc>
        <w:tc>
          <w:tcPr>
            <w:tcW w:type="dxa" w:w="108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IT BA / Business Owner</w:t>
            </w:r>
          </w:p>
        </w:tc>
        <w:tc>
          <w:tcPr>
            <w:tcW w:type="dxa" w:w="92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4"/>
                <w:szCs w:val="14"/>
              </w:rPr>
              <w:t xml:space="preserve">Açıq</w:t>
            </w:r>
          </w:p>
        </w:tc>
      </w:tr>
    </w:tbl>
    <w:p>
      <w:pPr>
        <w:spacing w:after="0" w:before="0" w:line="12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1134" w:right="1134" w:bottom="1134" w:left="1134" w:header="680" w:footer="680" w:gutter="0"/>
          <w:pgNumType/>
          <w:titlePg w:val="false"/>
          <w:docGrid w:linePitch="360"/>
        </w:sectPr>
      </w:pPr>
    </w:p>
    <w:p>
      <w:pPr>
        <w:pStyle w:val="Heading1"/>
        <w:keepNext/>
        <w:pBdr>
          <w:bottom w:val="single" w:color="E8A317" w:sz="12" w:space="6"/>
        </w:pBdr>
        <w:spacing w:after="160" w:before="360"/>
      </w:pPr>
      <w:r>
        <w:rPr>
          <w:rFonts w:ascii="Arial" w:cs="Arial" w:eastAsia="Arial" w:hAnsi="Arial"/>
          <w:b/>
          <w:bCs/>
          <w:color w:val="A9720A"/>
          <w:sz w:val="30"/>
          <w:szCs w:val="30"/>
        </w:rPr>
        <w:t xml:space="preserve">3. Xülasə və növbəti addımlar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3.1 Kateqoriya üzrə bölgü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100"/>
        <w:gridCol w:w="1000"/>
        <w:gridCol w:w="1000"/>
        <w:gridCol w:w="3238"/>
      </w:tblGrid>
      <w:tr>
        <w:trPr>
          <w:tblHeader/>
        </w:trPr>
        <w:tc>
          <w:tcPr>
            <w:tcW w:type="dxa" w:w="24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Kateqoriya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  <w:tc>
          <w:tcPr>
            <w:tcW w:type="dxa" w:w="11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Yüksək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Orta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Aşağı</w:t>
            </w:r>
          </w:p>
        </w:tc>
        <w:tc>
          <w:tcPr>
            <w:tcW w:type="dxa" w:w="32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Sahibi</w:t>
            </w:r>
          </w:p>
        </w:tc>
      </w:tr>
      <w:tr>
        <w:tc>
          <w:tcPr>
            <w:tcW w:type="dxa" w:w="24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Dokumentasiya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0</w:t>
            </w:r>
          </w:p>
        </w:tc>
        <w:tc>
          <w:tcPr>
            <w:tcW w:type="dxa" w:w="32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IT Business Analyst</w:t>
            </w:r>
          </w:p>
        </w:tc>
      </w:tr>
      <w:tr>
        <w:tc>
          <w:tcPr>
            <w:tcW w:type="dxa" w:w="24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Biznes qərarı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</w:t>
            </w:r>
          </w:p>
        </w:tc>
        <w:tc>
          <w:tcPr>
            <w:tcW w:type="dxa" w:w="32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Business Owner</w:t>
            </w:r>
          </w:p>
        </w:tc>
      </w:tr>
      <w:tr>
        <w:tc>
          <w:tcPr>
            <w:tcW w:type="dxa" w:w="24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Texniki qərar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0</w:t>
            </w:r>
          </w:p>
        </w:tc>
        <w:tc>
          <w:tcPr>
            <w:tcW w:type="dxa" w:w="32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Technical Team</w:t>
            </w:r>
          </w:p>
        </w:tc>
      </w:tr>
      <w:tr>
        <w:tc>
          <w:tcPr>
            <w:tcW w:type="dxa" w:w="24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Artefakt tamlığı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1</w:t>
            </w:r>
          </w:p>
        </w:tc>
        <w:tc>
          <w:tcPr>
            <w:tcW w:type="dxa" w:w="32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IT BA / Business Owner</w:t>
            </w:r>
          </w:p>
        </w:tc>
      </w:tr>
      <w:tr>
        <w:tc>
          <w:tcPr>
            <w:tcW w:type="dxa" w:w="24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Cəmi</w:t>
            </w:r>
          </w:p>
        </w:tc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14</w:t>
            </w:r>
          </w:p>
        </w:tc>
        <w:tc>
          <w:tcPr>
            <w:tcW w:type="dxa" w:w="11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2</w:t>
            </w:r>
          </w:p>
        </w:tc>
        <w:tc>
          <w:tcPr>
            <w:tcW w:type="dxa" w:w="32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12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3.2 Bağlanma ardıcıllığı</w:t>
      </w:r>
    </w:p>
    <w:p>
      <w:pPr>
        <w:spacing w:after="12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0"/>
          <w:szCs w:val="20"/>
        </w:rPr>
        <w:t xml:space="preserve">Boşluqlar bir-birindən asılıdır; aşağıdakı ardıcıllıq təkrar işin qarşısını alır.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538"/>
      </w:tblGrid>
      <w:tr>
        <w:trPr>
          <w:tblHeader/>
        </w:trPr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Addım</w:t>
            </w:r>
          </w:p>
        </w:tc>
        <w:tc>
          <w:tcPr>
            <w:tcW w:type="dxa" w:w="4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Nə edilir</w:t>
            </w:r>
          </w:p>
        </w:tc>
        <w:tc>
          <w:tcPr>
            <w:tcW w:type="dxa" w:w="45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E8A31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Niyə bu ardıcıllıqla</w:t>
            </w:r>
          </w:p>
        </w:tc>
      </w:tr>
      <w:tr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Business Owner Q1, Q3, Q4 suallarını cavablandırır (GAP-06, GAP-07, GAP-08).</w:t>
            </w:r>
          </w:p>
        </w:tc>
        <w:tc>
          <w:tcPr>
            <w:tcW w:type="dxa" w:w="45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Bu üç qərar biznes qaydalarının əhatəsini dəyişir; onlardan əvvəl API sənədləşdirmə aparılarsa, iş təkrarlanacaq.</w:t>
            </w:r>
          </w:p>
        </w:tc>
      </w:tr>
      <w:tr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GAP-07 nəticəsinə uyğun olaraq BR-008 və unique constraint yenidən nəzərdən keçirilir.</w:t>
            </w:r>
          </w:p>
        </w:tc>
        <w:tc>
          <w:tcPr>
            <w:tcW w:type="dxa" w:w="45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Qaydanın əhatəsi dəyişərsə, DR-03 qərarı və TC-13 test case-i də yenilənməlidir.</w:t>
            </w:r>
          </w:p>
        </w:tc>
      </w:tr>
      <w:tr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API sənədi tamamlanır: GAP-01 … GAP-05.</w:t>
            </w:r>
          </w:p>
        </w:tc>
        <w:tc>
          <w:tcPr>
            <w:tcW w:type="dxa" w:w="45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Biznes qərarları verildikdən sonra endpoint-lər yekun formada sənədləşdirilir.</w:t>
            </w:r>
          </w:p>
        </w:tc>
      </w:tr>
      <w:tr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GAP-11 üzrə rate limiting qeyri-funksional tələb kimi əlavə edilir.</w:t>
            </w:r>
          </w:p>
        </w:tc>
        <w:tc>
          <w:tcPr>
            <w:tcW w:type="dxa" w:w="45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DR-08 qərarının tam bağlanması üçün tələbdir; GAP-08 ilə birlikdə aparılmalıdır.</w:t>
            </w:r>
          </w:p>
        </w:tc>
      </w:tr>
      <w:tr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GAP-12 üzrə yeni edge case yaradılır; GAP-10 üzrə storage qərarı verilir.</w:t>
            </w:r>
          </w:p>
        </w:tc>
        <w:tc>
          <w:tcPr>
            <w:tcW w:type="dxa" w:w="45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Bu qərarlar development başlamazdan əvvəl lazımdır, lakin əvvəlki addımlardan asılı deyil.</w:t>
            </w:r>
          </w:p>
        </w:tc>
      </w:tr>
      <w:tr>
        <w:tc>
          <w:tcPr>
            <w:tcW w:type="dxa" w:w="9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GAP-13 və GAP-14 sənəd keyfiyyəti üzrə bağlanır.</w:t>
            </w:r>
          </w:p>
        </w:tc>
        <w:tc>
          <w:tcPr>
            <w:tcW w:type="dxa" w:w="4538"/>
            <w:tcBorders>
              <w:top w:val="single" w:color="DCE0E5" w:sz="2"/>
              <w:left w:val="single" w:color="DCE0E5" w:sz="2"/>
              <w:bottom w:val="single" w:color="DCE0E5" w:sz="2"/>
              <w:right w:val="single" w:color="DCE0E5" w:sz="2"/>
            </w:tcBorders>
            <w:shd w:fill="FDF8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6"/>
                <w:szCs w:val="16"/>
              </w:rPr>
              <w:t xml:space="preserve">Funksional icraya maneə deyil; paralel aparıla bilər.</w:t>
            </w:r>
          </w:p>
        </w:tc>
      </w:tr>
    </w:tbl>
    <w:p>
      <w:pPr>
        <w:spacing w:after="0" w:before="0" w:line="12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3.3 Registrin idarə olunması</w:t>
      </w:r>
    </w:p>
    <w:p>
      <w:pPr>
        <w:pStyle w:val="ListParagraph"/>
        <w:numPr>
          <w:ilvl w:val="0"/>
          <w:numId w:val="2"/>
        </w:numPr>
        <w:spacing w:after="80" w:before="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0"/>
          <w:szCs w:val="20"/>
        </w:rPr>
        <w:t xml:space="preserve">Yeni boşluq aşkarlandıqda GAP-15 ardıcıllığı ilə əlavə edilir; mövcud qeydlər silinmir.</w:t>
      </w:r>
    </w:p>
    <w:p>
      <w:pPr>
        <w:spacing w:after="2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8A317" w:sz="18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0" w:before="0" w:line="260" w:lineRule="auto"/>
            </w:pPr>
            <w:r>
              <w:rPr>
                <w:rFonts w:ascii="Arial" w:cs="Arial" w:eastAsia="Arial" w:hAnsi="Arial"/>
                <w:b/>
                <w:bCs/>
                <w:color w:val="A9720A"/>
                <w:sz w:val="19"/>
                <w:szCs w:val="19"/>
              </w:rPr>
              <w:t xml:space="preserve">Qeyd:</w:t>
            </w: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 Bu registrdəki boşluqların on biri layihənin öz artefaktları tərəfindən aşkarlanıb: yeddisi Requirements Traceability Matrix-in texniki təsir sütunundan, dördü isə BRD Bölmə 2.6-dakı açıq suallar cədvəlindən götürülüb. Bu, RTM-in formal sənəd deyil, işlək nəzarət aləti kimi istifadə olunduğunu göstərir.</w:t>
            </w:r>
          </w:p>
        </w:tc>
      </w:tr>
    </w:tbl>
    <w:p>
      <w:pPr>
        <w:spacing w:after="0" w:before="0" w:line="12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680" w:footer="68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Arial" w:cs="Arial" w:eastAsia="Arial" w:hAnsi="Arial"/>
        <w:b/>
        <w:bCs/>
        <w:color w:val="A9720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29C"/>
        <w:sz w:val="16"/>
        <w:szCs w:val="16"/>
      </w:rPr>
      <w:t xml:space="preserve"> / </w:t>
    </w:r>
    <w:r>
      <w:rPr>
        <w:rFonts w:ascii="Arial" w:cs="Arial" w:eastAsia="Arial" w:hAnsi="Arial"/>
        <w:color w:val="5C63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Arial" w:cs="Arial" w:eastAsia="Arial" w:hAnsi="Arial"/>
        <w:b/>
        <w:bCs/>
        <w:color w:val="A9720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29C"/>
        <w:sz w:val="16"/>
        <w:szCs w:val="16"/>
      </w:rPr>
      <w:t xml:space="preserve"> / </w:t>
    </w:r>
    <w:r>
      <w:rPr>
        <w:rFonts w:ascii="Arial" w:cs="Arial" w:eastAsia="Arial" w:hAnsi="Arial"/>
        <w:color w:val="5C63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Arial" w:cs="Arial" w:eastAsia="Arial" w:hAnsi="Arial"/>
        <w:b/>
        <w:bCs/>
        <w:color w:val="A9720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29C"/>
        <w:sz w:val="16"/>
        <w:szCs w:val="16"/>
      </w:rPr>
      <w:t xml:space="preserve"> / </w:t>
    </w:r>
    <w:r>
      <w:rPr>
        <w:rFonts w:ascii="Arial" w:cs="Arial" w:eastAsia="Arial" w:hAnsi="Arial"/>
        <w:color w:val="5C63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317" w:sz="4" w:space="6"/>
      </w:pBdr>
      <w:tabs>
        <w:tab w:val="right" w:pos="14570"/>
      </w:tabs>
      <w:spacing w:after="0"/>
    </w:pPr>
    <w:r>
      <w:rPr>
        <w:rFonts w:ascii="Arial" w:cs="Arial" w:eastAsia="Arial" w:hAnsi="Arial"/>
        <w:color w:val="5C6370"/>
        <w:sz w:val="16"/>
        <w:szCs w:val="16"/>
      </w:rPr>
      <w:t xml:space="preserve">SmartEdu — Gap Register</w:t>
    </w:r>
    <w:r>
      <w:rPr>
        <w:rFonts w:ascii="Arial" w:cs="Arial" w:eastAsia="Arial" w:hAnsi="Arial"/>
        <w:color w:val="8A929C"/>
        <w:sz w:val="16"/>
        <w:szCs w:val="16"/>
      </w:rPr>
      <w:t xml:space="preserve">	Versiya 1.0  ·  Avqust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317" w:sz="4" w:space="6"/>
      </w:pBdr>
      <w:tabs>
        <w:tab w:val="right" w:pos="14570"/>
      </w:tabs>
      <w:spacing w:after="0"/>
    </w:pPr>
    <w:r>
      <w:rPr>
        <w:rFonts w:ascii="Arial" w:cs="Arial" w:eastAsia="Arial" w:hAnsi="Arial"/>
        <w:color w:val="5C6370"/>
        <w:sz w:val="16"/>
        <w:szCs w:val="16"/>
      </w:rPr>
      <w:t xml:space="preserve">SmartEdu — Gap Register</w:t>
    </w:r>
    <w:r>
      <w:rPr>
        <w:rFonts w:ascii="Arial" w:cs="Arial" w:eastAsia="Arial" w:hAnsi="Arial"/>
        <w:color w:val="8A929C"/>
        <w:sz w:val="16"/>
        <w:szCs w:val="16"/>
      </w:rPr>
      <w:t xml:space="preserve">	Versiya 1.0  ·  Avqust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317" w:sz="4" w:space="6"/>
      </w:pBdr>
      <w:tabs>
        <w:tab w:val="right" w:pos="14570"/>
      </w:tabs>
      <w:spacing w:after="0"/>
    </w:pPr>
    <w:r>
      <w:rPr>
        <w:rFonts w:ascii="Arial" w:cs="Arial" w:eastAsia="Arial" w:hAnsi="Arial"/>
        <w:color w:val="5C6370"/>
        <w:sz w:val="16"/>
        <w:szCs w:val="16"/>
      </w:rPr>
      <w:t xml:space="preserve">SmartEdu — Gap Register</w:t>
    </w:r>
    <w:r>
      <w:rPr>
        <w:rFonts w:ascii="Arial" w:cs="Arial" w:eastAsia="Arial" w:hAnsi="Arial"/>
        <w:color w:val="8A929C"/>
        <w:sz w:val="16"/>
        <w:szCs w:val="16"/>
      </w:rPr>
      <w:t xml:space="preserve">	Versiya 1.0  ·  Avqust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b/>
        <w:bCs/>
        <w:color w:val="E8A3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color w:val="1F232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SmartEdu — Gap Register</dc:title>
  <dc:creator>SmartEdu Project Team</dc:creator>
  <dc:description>Known gaps, open questions and closure plan</dc:description>
  <cp:lastModifiedBy>Un-named</cp:lastModifiedBy>
  <cp:revision>1</cp:revision>
  <dcterms:created xsi:type="dcterms:W3CDTF">2026-08-13T08:29:34.608Z</dcterms:created>
  <dcterms:modified xsi:type="dcterms:W3CDTF">2026-08-13T08:29:34.608Z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