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DF72" w14:textId="338E3042" w:rsidR="00527E6D" w:rsidRDefault="000138CF" w:rsidP="00344CE3">
      <w:pPr>
        <w:jc w:val="center"/>
        <w:rPr>
          <w:b/>
          <w:bCs/>
          <w:u w:val="single"/>
          <w:lang w:val="en-US"/>
        </w:rPr>
      </w:pPr>
      <w:r w:rsidRPr="000138CF">
        <w:rPr>
          <w:b/>
          <w:bCs/>
          <w:u w:val="single"/>
          <w:lang w:val="en-US"/>
        </w:rPr>
        <w:t xml:space="preserve">Spatial </w:t>
      </w:r>
      <w:r w:rsidR="0021542B">
        <w:rPr>
          <w:b/>
          <w:bCs/>
          <w:u w:val="single"/>
          <w:lang w:val="en-US"/>
        </w:rPr>
        <w:t>Analysis – Exercise 2.7</w:t>
      </w:r>
    </w:p>
    <w:p w14:paraId="28B529D7" w14:textId="3AEE4432" w:rsidR="00344CE3" w:rsidRPr="0021542B" w:rsidRDefault="00344CE3" w:rsidP="00344CE3">
      <w:pPr>
        <w:rPr>
          <w:b/>
          <w:bCs/>
          <w:u w:val="single"/>
          <w:lang w:val="en-US"/>
        </w:rPr>
      </w:pPr>
      <w:r w:rsidRPr="0021542B">
        <w:rPr>
          <w:b/>
          <w:bCs/>
          <w:i/>
          <w:iCs/>
          <w:u w:val="single"/>
          <w:lang w:val="en-US"/>
        </w:rPr>
        <w:t>Hypothesis</w:t>
      </w:r>
      <w:r w:rsidR="0021542B" w:rsidRPr="0021542B">
        <w:rPr>
          <w:b/>
          <w:bCs/>
          <w:i/>
          <w:iCs/>
          <w:u w:val="single"/>
          <w:lang w:val="en-US"/>
        </w:rPr>
        <w:t xml:space="preserve"> - </w:t>
      </w:r>
      <w:r w:rsidRPr="00344CE3">
        <w:rPr>
          <w:rFonts w:ascii="Calibri" w:hAnsi="Calibri" w:cs="Calibri"/>
          <w:i/>
          <w:iCs/>
        </w:rPr>
        <w:t xml:space="preserve">If age is an independent variable, then people 65 and above will be experience higher influenza mortality rates compared to younger age groups. </w:t>
      </w:r>
    </w:p>
    <w:p w14:paraId="6CF6429A" w14:textId="1C7FBF0F" w:rsidR="00344CE3" w:rsidRDefault="00344CE3" w:rsidP="00344CE3">
      <w:pPr>
        <w:rPr>
          <w:rFonts w:ascii="Calibri" w:hAnsi="Calibri" w:cs="Calibri"/>
        </w:rPr>
      </w:pPr>
      <w:r w:rsidRPr="001C7E4A">
        <w:rPr>
          <w:rFonts w:ascii="Calibri" w:hAnsi="Calibri" w:cs="Calibri"/>
          <w:b/>
          <w:bCs/>
        </w:rPr>
        <w:t>Link to tableau workbook -</w:t>
      </w:r>
      <w:r>
        <w:rPr>
          <w:rFonts w:ascii="Calibri" w:hAnsi="Calibri" w:cs="Calibri"/>
        </w:rPr>
        <w:t xml:space="preserve"> </w:t>
      </w:r>
      <w:hyperlink r:id="rId7" w:history="1">
        <w:r w:rsidR="0021542B" w:rsidRPr="00DB7127">
          <w:rPr>
            <w:rStyle w:val="Hyperlink"/>
            <w:rFonts w:ascii="Calibri" w:hAnsi="Calibri" w:cs="Calibri"/>
          </w:rPr>
          <w:t>https://public.tableau.com/app/profile/aysha.samsudeen/viz/SpatialmapsforinfluenzaDeathsintheUS/CombinationMap</w:t>
        </w:r>
      </w:hyperlink>
    </w:p>
    <w:p w14:paraId="5A27D304" w14:textId="2F4FD8FB" w:rsidR="0021542B" w:rsidRPr="00344CE3" w:rsidRDefault="0021542B" w:rsidP="00344CE3">
      <w:pPr>
        <w:rPr>
          <w:b/>
          <w:bCs/>
          <w:u w:val="single"/>
          <w:lang w:val="en-US"/>
        </w:rPr>
      </w:pPr>
      <w:r w:rsidRPr="0021542B">
        <w:rPr>
          <w:b/>
          <w:bCs/>
          <w:u w:val="single"/>
          <w:lang w:val="en-US"/>
        </w:rPr>
        <w:t>Choropleth Map</w:t>
      </w:r>
    </w:p>
    <w:p w14:paraId="718A593A" w14:textId="3EDAA765" w:rsidR="00344CE3" w:rsidRDefault="00344CE3">
      <w:pPr>
        <w:rPr>
          <w:b/>
          <w:bCs/>
          <w:u w:val="single"/>
          <w:lang w:val="en-US"/>
        </w:rPr>
      </w:pPr>
      <w:r>
        <w:rPr>
          <w:b/>
          <w:bCs/>
          <w:noProof/>
          <w:u w:val="single"/>
          <w:lang w:val="en-US"/>
        </w:rPr>
        <w:drawing>
          <wp:inline distT="0" distB="0" distL="0" distR="0" wp14:anchorId="216B9CEE" wp14:editId="5F55C342">
            <wp:extent cx="5731510" cy="3043555"/>
            <wp:effectExtent l="0" t="0" r="0" b="4445"/>
            <wp:docPr id="1445536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36019" name="Picture 1445536019"/>
                    <pic:cNvPicPr/>
                  </pic:nvPicPr>
                  <pic:blipFill>
                    <a:blip r:embed="rId8">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p>
    <w:p w14:paraId="7A476E1C" w14:textId="77777777" w:rsidR="001C7E4A" w:rsidRDefault="00344CE3">
      <w:pPr>
        <w:rPr>
          <w:b/>
          <w:bCs/>
          <w:u w:val="single"/>
          <w:lang w:val="en-US"/>
        </w:rPr>
      </w:pPr>
      <w:r>
        <w:rPr>
          <w:b/>
          <w:bCs/>
          <w:u w:val="single"/>
          <w:lang w:val="en-US"/>
        </w:rPr>
        <w:t>Combination maps</w:t>
      </w:r>
    </w:p>
    <w:p w14:paraId="5B7C52A0" w14:textId="65549E3D" w:rsidR="00344CE3" w:rsidRDefault="001C7E4A">
      <w:pPr>
        <w:rPr>
          <w:b/>
          <w:bCs/>
          <w:u w:val="single"/>
          <w:lang w:val="en-US"/>
        </w:rPr>
      </w:pPr>
      <w:r>
        <w:rPr>
          <w:b/>
          <w:bCs/>
          <w:noProof/>
          <w:u w:val="single"/>
          <w:lang w:val="en-US"/>
        </w:rPr>
        <w:drawing>
          <wp:inline distT="0" distB="0" distL="0" distR="0" wp14:anchorId="3389AA4E" wp14:editId="6F983FF6">
            <wp:extent cx="5731510" cy="3092450"/>
            <wp:effectExtent l="0" t="0" r="0" b="6350"/>
            <wp:docPr id="78947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70466" name="Picture 789470466"/>
                    <pic:cNvPicPr/>
                  </pic:nvPicPr>
                  <pic:blipFill>
                    <a:blip r:embed="rId9">
                      <a:extLst>
                        <a:ext uri="{28A0092B-C50C-407E-A947-70E740481C1C}">
                          <a14:useLocalDpi xmlns:a14="http://schemas.microsoft.com/office/drawing/2010/main" val="0"/>
                        </a:ext>
                      </a:extLst>
                    </a:blip>
                    <a:stretch>
                      <a:fillRect/>
                    </a:stretch>
                  </pic:blipFill>
                  <pic:spPr>
                    <a:xfrm>
                      <a:off x="0" y="0"/>
                      <a:ext cx="5731510" cy="3092450"/>
                    </a:xfrm>
                    <a:prstGeom prst="rect">
                      <a:avLst/>
                    </a:prstGeom>
                  </pic:spPr>
                </pic:pic>
              </a:graphicData>
            </a:graphic>
          </wp:inline>
        </w:drawing>
      </w:r>
    </w:p>
    <w:p w14:paraId="61F58529" w14:textId="3DC6D18F" w:rsidR="00344CE3" w:rsidRDefault="00344CE3">
      <w:pPr>
        <w:rPr>
          <w:b/>
          <w:bCs/>
          <w:u w:val="single"/>
          <w:lang w:val="en-US"/>
        </w:rPr>
      </w:pPr>
      <w:r>
        <w:rPr>
          <w:b/>
          <w:bCs/>
          <w:u w:val="single"/>
          <w:lang w:val="en-US"/>
        </w:rPr>
        <w:lastRenderedPageBreak/>
        <w:t>Insights of spatial analysis of attached maps:</w:t>
      </w:r>
    </w:p>
    <w:p w14:paraId="3A2188BE" w14:textId="080CF72D" w:rsidR="001C7E4A" w:rsidRPr="001C7E4A" w:rsidRDefault="001C7E4A" w:rsidP="001C7E4A">
      <w:pPr>
        <w:rPr>
          <w:b/>
          <w:bCs/>
          <w:i/>
          <w:iCs/>
        </w:rPr>
      </w:pPr>
      <w:r w:rsidRPr="001C7E4A">
        <w:rPr>
          <w:b/>
          <w:bCs/>
          <w:i/>
          <w:iCs/>
        </w:rPr>
        <w:t>Highest and Lowest Deaths:</w:t>
      </w:r>
    </w:p>
    <w:p w14:paraId="3387AA01" w14:textId="77777777" w:rsidR="001C7E4A" w:rsidRPr="001C7E4A" w:rsidRDefault="001C7E4A" w:rsidP="001C7E4A">
      <w:pPr>
        <w:numPr>
          <w:ilvl w:val="0"/>
          <w:numId w:val="4"/>
        </w:numPr>
      </w:pPr>
      <w:r w:rsidRPr="001C7E4A">
        <w:t>California and New York emerged as the states with the highest number of influenza deaths across all age groups during the specified period. This could be attributed to several factors, including higher population densities, greater healthcare access, and possibly more extensive reporting mechanisms.</w:t>
      </w:r>
    </w:p>
    <w:p w14:paraId="7691BF0D" w14:textId="77777777" w:rsidR="001C7E4A" w:rsidRPr="001C7E4A" w:rsidRDefault="001C7E4A" w:rsidP="001C7E4A">
      <w:pPr>
        <w:numPr>
          <w:ilvl w:val="0"/>
          <w:numId w:val="4"/>
        </w:numPr>
      </w:pPr>
      <w:r w:rsidRPr="001C7E4A">
        <w:t>Vermont, on the other hand, recorded the lowest number of influenza deaths. This may reflect its smaller population size, demographic factors, or effective public health interventions.</w:t>
      </w:r>
    </w:p>
    <w:p w14:paraId="505B5BFE" w14:textId="37FC59EB" w:rsidR="001C7E4A" w:rsidRPr="001C7E4A" w:rsidRDefault="001C7E4A" w:rsidP="001C7E4A">
      <w:pPr>
        <w:rPr>
          <w:b/>
          <w:bCs/>
          <w:i/>
          <w:iCs/>
        </w:rPr>
      </w:pPr>
      <w:r w:rsidRPr="001C7E4A">
        <w:rPr>
          <w:b/>
          <w:bCs/>
          <w:i/>
          <w:iCs/>
        </w:rPr>
        <w:t>Vulnerable Population Correlation:</w:t>
      </w:r>
    </w:p>
    <w:p w14:paraId="5BE50C4B" w14:textId="77777777" w:rsidR="001C7E4A" w:rsidRPr="001C7E4A" w:rsidRDefault="001C7E4A" w:rsidP="001C7E4A">
      <w:pPr>
        <w:numPr>
          <w:ilvl w:val="0"/>
          <w:numId w:val="4"/>
        </w:numPr>
      </w:pPr>
      <w:r w:rsidRPr="001C7E4A">
        <w:t>The data suggests a correlation between the total number of deaths among the vulnerable population (ages 65 and older) and the overall influenza deaths in the U.S. This means that states with higher mortality rates among older adults also tended to report higher overall influenza deaths. This trend is represented by gray circles on the map, where the size of the circle correlates to the number of deaths—larger circles indicate more deaths.</w:t>
      </w:r>
    </w:p>
    <w:p w14:paraId="7D157E19" w14:textId="77777777" w:rsidR="001C7E4A" w:rsidRPr="001C7E4A" w:rsidRDefault="001C7E4A" w:rsidP="001C7E4A">
      <w:pPr>
        <w:numPr>
          <w:ilvl w:val="0"/>
          <w:numId w:val="4"/>
        </w:numPr>
      </w:pPr>
      <w:r w:rsidRPr="001C7E4A">
        <w:t>California, having the largest circle, suggests a significant number of deaths in both the vulnerable population and the general population, emphasizing the impact of influenza on older adults.</w:t>
      </w:r>
    </w:p>
    <w:p w14:paraId="3C9371A7" w14:textId="4C003E68" w:rsidR="001C7E4A" w:rsidRPr="001C7E4A" w:rsidRDefault="001C7E4A" w:rsidP="001C7E4A">
      <w:pPr>
        <w:ind w:left="360"/>
        <w:rPr>
          <w:b/>
          <w:bCs/>
          <w:i/>
          <w:iCs/>
        </w:rPr>
      </w:pPr>
      <w:r w:rsidRPr="001C7E4A">
        <w:rPr>
          <w:b/>
          <w:bCs/>
          <w:i/>
          <w:iCs/>
        </w:rPr>
        <w:t>Trends Over Time:</w:t>
      </w:r>
    </w:p>
    <w:p w14:paraId="7F7BF525" w14:textId="77777777" w:rsidR="001C7E4A" w:rsidRPr="001C7E4A" w:rsidRDefault="001C7E4A" w:rsidP="001C7E4A">
      <w:pPr>
        <w:numPr>
          <w:ilvl w:val="0"/>
          <w:numId w:val="4"/>
        </w:numPr>
      </w:pPr>
      <w:r w:rsidRPr="001C7E4A">
        <w:t>The overall trend indicates that the number of influenza deaths increased over the years studied. This rise may be influenced by factors such as the emergence of more virulent strains of the virus, increased awareness and reporting, or changes in vaccination rates.</w:t>
      </w:r>
    </w:p>
    <w:p w14:paraId="517898B5" w14:textId="77777777" w:rsidR="001C7E4A" w:rsidRPr="001C7E4A" w:rsidRDefault="001C7E4A" w:rsidP="001C7E4A">
      <w:pPr>
        <w:numPr>
          <w:ilvl w:val="0"/>
          <w:numId w:val="4"/>
        </w:numPr>
      </w:pPr>
      <w:r w:rsidRPr="001C7E4A">
        <w:t>California’s consistent position at the top of the death toll list throughout the years signals a persistent public health challenge, potentially warranting more targeted interventions and resources to manage influenza outbreaks.</w:t>
      </w:r>
    </w:p>
    <w:p w14:paraId="2915BBF8" w14:textId="77777777" w:rsidR="00344CE3" w:rsidRPr="000138CF" w:rsidRDefault="00344CE3">
      <w:pPr>
        <w:rPr>
          <w:b/>
          <w:bCs/>
          <w:u w:val="single"/>
          <w:lang w:val="en-US"/>
        </w:rPr>
      </w:pPr>
    </w:p>
    <w:sectPr w:rsidR="00344CE3" w:rsidRPr="000138CF">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A6BCB" w14:textId="77777777" w:rsidR="00B205C5" w:rsidRDefault="00B205C5" w:rsidP="001C7E4A">
      <w:pPr>
        <w:spacing w:after="0" w:line="240" w:lineRule="auto"/>
      </w:pPr>
      <w:r>
        <w:separator/>
      </w:r>
    </w:p>
  </w:endnote>
  <w:endnote w:type="continuationSeparator" w:id="0">
    <w:p w14:paraId="2DD8C3A8" w14:textId="77777777" w:rsidR="00B205C5" w:rsidRDefault="00B205C5" w:rsidP="001C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972698"/>
      <w:docPartObj>
        <w:docPartGallery w:val="Page Numbers (Bottom of Page)"/>
        <w:docPartUnique/>
      </w:docPartObj>
    </w:sdtPr>
    <w:sdtContent>
      <w:p w14:paraId="238A5A2E" w14:textId="0EEE416B" w:rsidR="001C7E4A" w:rsidRDefault="001C7E4A" w:rsidP="00DB71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8F67B6" w14:textId="77777777" w:rsidR="001C7E4A" w:rsidRDefault="001C7E4A" w:rsidP="001C7E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8014008"/>
      <w:docPartObj>
        <w:docPartGallery w:val="Page Numbers (Bottom of Page)"/>
        <w:docPartUnique/>
      </w:docPartObj>
    </w:sdtPr>
    <w:sdtContent>
      <w:p w14:paraId="477D3FDD" w14:textId="69FC8C39" w:rsidR="001C7E4A" w:rsidRDefault="001C7E4A" w:rsidP="00DB71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E3B3FF" w14:textId="77777777" w:rsidR="001C7E4A" w:rsidRDefault="001C7E4A" w:rsidP="001C7E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6814E" w14:textId="77777777" w:rsidR="00B205C5" w:rsidRDefault="00B205C5" w:rsidP="001C7E4A">
      <w:pPr>
        <w:spacing w:after="0" w:line="240" w:lineRule="auto"/>
      </w:pPr>
      <w:r>
        <w:separator/>
      </w:r>
    </w:p>
  </w:footnote>
  <w:footnote w:type="continuationSeparator" w:id="0">
    <w:p w14:paraId="7051CB41" w14:textId="77777777" w:rsidR="00B205C5" w:rsidRDefault="00B205C5" w:rsidP="001C7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51F4A"/>
    <w:multiLevelType w:val="multilevel"/>
    <w:tmpl w:val="1558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B4988"/>
    <w:multiLevelType w:val="multilevel"/>
    <w:tmpl w:val="667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C7EE8"/>
    <w:multiLevelType w:val="hybridMultilevel"/>
    <w:tmpl w:val="B3FA2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DB4C82"/>
    <w:multiLevelType w:val="multilevel"/>
    <w:tmpl w:val="AF0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410166">
    <w:abstractNumId w:val="1"/>
  </w:num>
  <w:num w:numId="2" w16cid:durableId="1645548111">
    <w:abstractNumId w:val="3"/>
  </w:num>
  <w:num w:numId="3" w16cid:durableId="364865928">
    <w:abstractNumId w:val="0"/>
  </w:num>
  <w:num w:numId="4" w16cid:durableId="146427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6D"/>
    <w:rsid w:val="000138CF"/>
    <w:rsid w:val="001C7E4A"/>
    <w:rsid w:val="0021542B"/>
    <w:rsid w:val="00344CE3"/>
    <w:rsid w:val="00527E6D"/>
    <w:rsid w:val="00B205C5"/>
    <w:rsid w:val="00FC1CD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1A3505E5"/>
  <w15:chartTrackingRefBased/>
  <w15:docId w15:val="{5E969423-3C11-2D48-87AC-C5538CB8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E6D"/>
    <w:rPr>
      <w:rFonts w:eastAsiaTheme="majorEastAsia" w:cstheme="majorBidi"/>
      <w:color w:val="272727" w:themeColor="text1" w:themeTint="D8"/>
    </w:rPr>
  </w:style>
  <w:style w:type="paragraph" w:styleId="Title">
    <w:name w:val="Title"/>
    <w:basedOn w:val="Normal"/>
    <w:next w:val="Normal"/>
    <w:link w:val="TitleChar"/>
    <w:uiPriority w:val="10"/>
    <w:qFormat/>
    <w:rsid w:val="00527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E6D"/>
    <w:pPr>
      <w:spacing w:before="160"/>
      <w:jc w:val="center"/>
    </w:pPr>
    <w:rPr>
      <w:i/>
      <w:iCs/>
      <w:color w:val="404040" w:themeColor="text1" w:themeTint="BF"/>
    </w:rPr>
  </w:style>
  <w:style w:type="character" w:customStyle="1" w:styleId="QuoteChar">
    <w:name w:val="Quote Char"/>
    <w:basedOn w:val="DefaultParagraphFont"/>
    <w:link w:val="Quote"/>
    <w:uiPriority w:val="29"/>
    <w:rsid w:val="00527E6D"/>
    <w:rPr>
      <w:i/>
      <w:iCs/>
      <w:color w:val="404040" w:themeColor="text1" w:themeTint="BF"/>
    </w:rPr>
  </w:style>
  <w:style w:type="paragraph" w:styleId="ListParagraph">
    <w:name w:val="List Paragraph"/>
    <w:basedOn w:val="Normal"/>
    <w:uiPriority w:val="34"/>
    <w:qFormat/>
    <w:rsid w:val="00527E6D"/>
    <w:pPr>
      <w:ind w:left="720"/>
      <w:contextualSpacing/>
    </w:pPr>
  </w:style>
  <w:style w:type="character" w:styleId="IntenseEmphasis">
    <w:name w:val="Intense Emphasis"/>
    <w:basedOn w:val="DefaultParagraphFont"/>
    <w:uiPriority w:val="21"/>
    <w:qFormat/>
    <w:rsid w:val="00527E6D"/>
    <w:rPr>
      <w:i/>
      <w:iCs/>
      <w:color w:val="0F4761" w:themeColor="accent1" w:themeShade="BF"/>
    </w:rPr>
  </w:style>
  <w:style w:type="paragraph" w:styleId="IntenseQuote">
    <w:name w:val="Intense Quote"/>
    <w:basedOn w:val="Normal"/>
    <w:next w:val="Normal"/>
    <w:link w:val="IntenseQuoteChar"/>
    <w:uiPriority w:val="30"/>
    <w:qFormat/>
    <w:rsid w:val="00527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E6D"/>
    <w:rPr>
      <w:i/>
      <w:iCs/>
      <w:color w:val="0F4761" w:themeColor="accent1" w:themeShade="BF"/>
    </w:rPr>
  </w:style>
  <w:style w:type="character" w:styleId="IntenseReference">
    <w:name w:val="Intense Reference"/>
    <w:basedOn w:val="DefaultParagraphFont"/>
    <w:uiPriority w:val="32"/>
    <w:qFormat/>
    <w:rsid w:val="00527E6D"/>
    <w:rPr>
      <w:b/>
      <w:bCs/>
      <w:smallCaps/>
      <w:color w:val="0F4761" w:themeColor="accent1" w:themeShade="BF"/>
      <w:spacing w:val="5"/>
    </w:rPr>
  </w:style>
  <w:style w:type="paragraph" w:styleId="Footer">
    <w:name w:val="footer"/>
    <w:basedOn w:val="Normal"/>
    <w:link w:val="FooterChar"/>
    <w:uiPriority w:val="99"/>
    <w:unhideWhenUsed/>
    <w:rsid w:val="001C7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E4A"/>
  </w:style>
  <w:style w:type="character" w:styleId="PageNumber">
    <w:name w:val="page number"/>
    <w:basedOn w:val="DefaultParagraphFont"/>
    <w:uiPriority w:val="99"/>
    <w:semiHidden/>
    <w:unhideWhenUsed/>
    <w:rsid w:val="001C7E4A"/>
  </w:style>
  <w:style w:type="character" w:styleId="Hyperlink">
    <w:name w:val="Hyperlink"/>
    <w:basedOn w:val="DefaultParagraphFont"/>
    <w:uiPriority w:val="99"/>
    <w:unhideWhenUsed/>
    <w:rsid w:val="0021542B"/>
    <w:rPr>
      <w:color w:val="467886" w:themeColor="hyperlink"/>
      <w:u w:val="single"/>
    </w:rPr>
  </w:style>
  <w:style w:type="character" w:styleId="UnresolvedMention">
    <w:name w:val="Unresolved Mention"/>
    <w:basedOn w:val="DefaultParagraphFont"/>
    <w:uiPriority w:val="99"/>
    <w:semiHidden/>
    <w:unhideWhenUsed/>
    <w:rsid w:val="00215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40664">
      <w:bodyDiv w:val="1"/>
      <w:marLeft w:val="0"/>
      <w:marRight w:val="0"/>
      <w:marTop w:val="0"/>
      <w:marBottom w:val="0"/>
      <w:divBdr>
        <w:top w:val="none" w:sz="0" w:space="0" w:color="auto"/>
        <w:left w:val="none" w:sz="0" w:space="0" w:color="auto"/>
        <w:bottom w:val="none" w:sz="0" w:space="0" w:color="auto"/>
        <w:right w:val="none" w:sz="0" w:space="0" w:color="auto"/>
      </w:divBdr>
      <w:divsChild>
        <w:div w:id="1720787754">
          <w:marLeft w:val="0"/>
          <w:marRight w:val="0"/>
          <w:marTop w:val="0"/>
          <w:marBottom w:val="0"/>
          <w:divBdr>
            <w:top w:val="none" w:sz="0" w:space="0" w:color="auto"/>
            <w:left w:val="none" w:sz="0" w:space="0" w:color="auto"/>
            <w:bottom w:val="none" w:sz="0" w:space="0" w:color="auto"/>
            <w:right w:val="none" w:sz="0" w:space="0" w:color="auto"/>
          </w:divBdr>
          <w:divsChild>
            <w:div w:id="1354723725">
              <w:marLeft w:val="0"/>
              <w:marRight w:val="0"/>
              <w:marTop w:val="0"/>
              <w:marBottom w:val="0"/>
              <w:divBdr>
                <w:top w:val="none" w:sz="0" w:space="0" w:color="auto"/>
                <w:left w:val="none" w:sz="0" w:space="0" w:color="auto"/>
                <w:bottom w:val="none" w:sz="0" w:space="0" w:color="auto"/>
                <w:right w:val="none" w:sz="0" w:space="0" w:color="auto"/>
              </w:divBdr>
              <w:divsChild>
                <w:div w:id="16826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24493">
      <w:bodyDiv w:val="1"/>
      <w:marLeft w:val="0"/>
      <w:marRight w:val="0"/>
      <w:marTop w:val="0"/>
      <w:marBottom w:val="0"/>
      <w:divBdr>
        <w:top w:val="none" w:sz="0" w:space="0" w:color="auto"/>
        <w:left w:val="none" w:sz="0" w:space="0" w:color="auto"/>
        <w:bottom w:val="none" w:sz="0" w:space="0" w:color="auto"/>
        <w:right w:val="none" w:sz="0" w:space="0" w:color="auto"/>
      </w:divBdr>
    </w:div>
    <w:div w:id="931550290">
      <w:bodyDiv w:val="1"/>
      <w:marLeft w:val="0"/>
      <w:marRight w:val="0"/>
      <w:marTop w:val="0"/>
      <w:marBottom w:val="0"/>
      <w:divBdr>
        <w:top w:val="none" w:sz="0" w:space="0" w:color="auto"/>
        <w:left w:val="none" w:sz="0" w:space="0" w:color="auto"/>
        <w:bottom w:val="none" w:sz="0" w:space="0" w:color="auto"/>
        <w:right w:val="none" w:sz="0" w:space="0" w:color="auto"/>
      </w:divBdr>
      <w:divsChild>
        <w:div w:id="1817793059">
          <w:marLeft w:val="0"/>
          <w:marRight w:val="0"/>
          <w:marTop w:val="0"/>
          <w:marBottom w:val="0"/>
          <w:divBdr>
            <w:top w:val="none" w:sz="0" w:space="0" w:color="auto"/>
            <w:left w:val="none" w:sz="0" w:space="0" w:color="auto"/>
            <w:bottom w:val="none" w:sz="0" w:space="0" w:color="auto"/>
            <w:right w:val="none" w:sz="0" w:space="0" w:color="auto"/>
          </w:divBdr>
          <w:divsChild>
            <w:div w:id="1010983742">
              <w:marLeft w:val="0"/>
              <w:marRight w:val="0"/>
              <w:marTop w:val="0"/>
              <w:marBottom w:val="0"/>
              <w:divBdr>
                <w:top w:val="none" w:sz="0" w:space="0" w:color="auto"/>
                <w:left w:val="none" w:sz="0" w:space="0" w:color="auto"/>
                <w:bottom w:val="none" w:sz="0" w:space="0" w:color="auto"/>
                <w:right w:val="none" w:sz="0" w:space="0" w:color="auto"/>
              </w:divBdr>
              <w:divsChild>
                <w:div w:id="11030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app/profile/aysha.samsudeen/viz/SpatialmapsforinfluenzaDeathsintheUS/CombinationMa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Shanaz Samsudeen</dc:creator>
  <cp:keywords/>
  <dc:description/>
  <cp:lastModifiedBy>Shanaz Samsudeen</cp:lastModifiedBy>
  <cp:revision>3</cp:revision>
  <dcterms:created xsi:type="dcterms:W3CDTF">2024-10-23T07:13:00Z</dcterms:created>
  <dcterms:modified xsi:type="dcterms:W3CDTF">2024-10-23T07:14:00Z</dcterms:modified>
</cp:coreProperties>
</file>