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78" w:rsidRDefault="008D2778">
      <w:pPr>
        <w:rPr>
          <w:sz w:val="40"/>
        </w:rPr>
      </w:pPr>
      <w:r w:rsidRPr="008D2778">
        <w:rPr>
          <w:sz w:val="40"/>
        </w:rPr>
        <w:t>Assumption of Normal Distribution</w:t>
      </w:r>
    </w:p>
    <w:p w:rsidR="008D2778" w:rsidRDefault="008D2778">
      <w:pPr>
        <w:rPr>
          <w:sz w:val="40"/>
        </w:rPr>
      </w:pPr>
    </w:p>
    <w:p w:rsidR="008D2778" w:rsidRDefault="008D2778">
      <w:pPr>
        <w:rPr>
          <w:sz w:val="40"/>
        </w:rPr>
      </w:pPr>
      <w:r w:rsidRPr="008D2778">
        <w:rPr>
          <w:noProof/>
          <w:sz w:val="40"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778" w:rsidRPr="008D2778" w:rsidRDefault="008D2778">
      <w:pPr>
        <w:rPr>
          <w:sz w:val="40"/>
        </w:rPr>
      </w:pPr>
    </w:p>
    <w:p w:rsidR="008D2778" w:rsidRDefault="008D2778">
      <w:pPr>
        <w:rPr>
          <w:sz w:val="40"/>
        </w:rPr>
      </w:pPr>
      <w:r>
        <w:rPr>
          <w:sz w:val="40"/>
        </w:rPr>
        <w:t>Interpretation:</w:t>
      </w:r>
    </w:p>
    <w:p w:rsidR="008D2778" w:rsidRDefault="008D2778" w:rsidP="008D2778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The box plot shows that the distribution of GPA of </w:t>
      </w:r>
      <w:proofErr w:type="spellStart"/>
      <w:r>
        <w:rPr>
          <w:sz w:val="40"/>
        </w:rPr>
        <w:t>sophmores</w:t>
      </w:r>
      <w:proofErr w:type="spellEnd"/>
      <w:r>
        <w:rPr>
          <w:sz w:val="40"/>
        </w:rPr>
        <w:t xml:space="preserve"> is slightly left skewed and that of juniors is almost symmetrical. Both </w:t>
      </w:r>
      <w:proofErr w:type="spellStart"/>
      <w:r>
        <w:rPr>
          <w:sz w:val="40"/>
        </w:rPr>
        <w:t>dsitributions</w:t>
      </w:r>
      <w:proofErr w:type="spellEnd"/>
      <w:r>
        <w:rPr>
          <w:sz w:val="40"/>
        </w:rPr>
        <w:t xml:space="preserve"> do not violate the test </w:t>
      </w:r>
      <w:proofErr w:type="spellStart"/>
      <w:r>
        <w:rPr>
          <w:sz w:val="40"/>
        </w:rPr>
        <w:t>assumptioooon</w:t>
      </w:r>
      <w:proofErr w:type="spellEnd"/>
      <w:r>
        <w:rPr>
          <w:sz w:val="40"/>
        </w:rPr>
        <w:t xml:space="preserve"> that distribution of </w:t>
      </w:r>
    </w:p>
    <w:p w:rsidR="008D2778" w:rsidRDefault="008D2778" w:rsidP="008D2778">
      <w:pPr>
        <w:pStyle w:val="ListParagraph"/>
        <w:rPr>
          <w:sz w:val="40"/>
        </w:rPr>
      </w:pPr>
      <w:r>
        <w:rPr>
          <w:sz w:val="40"/>
        </w:rPr>
        <w:t>Each sample is normal, which is also confirmed by graph of histogram of individual data sets.</w:t>
      </w:r>
    </w:p>
    <w:p w:rsidR="008D2778" w:rsidRDefault="008D2778" w:rsidP="008D2778">
      <w:pPr>
        <w:pStyle w:val="ListParagraph"/>
        <w:rPr>
          <w:sz w:val="40"/>
        </w:rPr>
      </w:pPr>
    </w:p>
    <w:p w:rsidR="008D2778" w:rsidRDefault="008D2778" w:rsidP="008D2778">
      <w:pPr>
        <w:pStyle w:val="ListParagraph"/>
        <w:rPr>
          <w:sz w:val="40"/>
        </w:rPr>
      </w:pPr>
      <w:r w:rsidRPr="008D2778">
        <w:rPr>
          <w:noProof/>
          <w:sz w:val="40"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778" w:rsidRDefault="008D2778" w:rsidP="008D2778">
      <w:pPr>
        <w:pStyle w:val="ListParagraph"/>
        <w:rPr>
          <w:sz w:val="40"/>
        </w:rPr>
      </w:pPr>
    </w:p>
    <w:p w:rsidR="008D2778" w:rsidRDefault="008D2778" w:rsidP="008D2778">
      <w:pPr>
        <w:pStyle w:val="ListParagraph"/>
        <w:rPr>
          <w:sz w:val="40"/>
        </w:rPr>
      </w:pPr>
      <w:r w:rsidRPr="008D2778">
        <w:rPr>
          <w:noProof/>
          <w:sz w:val="40"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778" w:rsidRPr="008D2778" w:rsidRDefault="008D2778" w:rsidP="008D2778">
      <w:pPr>
        <w:pStyle w:val="ListParagraph"/>
        <w:rPr>
          <w:sz w:val="40"/>
        </w:rPr>
      </w:pPr>
    </w:p>
    <w:p w:rsidR="008D2778" w:rsidRPr="008D2778" w:rsidRDefault="008D2778" w:rsidP="008D2778">
      <w:pPr>
        <w:rPr>
          <w:sz w:val="40"/>
        </w:rPr>
      </w:pPr>
      <w:r w:rsidRPr="008D2778">
        <w:rPr>
          <w:sz w:val="40"/>
        </w:rPr>
        <w:lastRenderedPageBreak/>
        <w:t>Descriptive Statistics</w:t>
      </w:r>
    </w:p>
    <w:p w:rsidR="008D2778" w:rsidRPr="008D2778" w:rsidRDefault="008D2778" w:rsidP="008D2778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48"/>
          <w:szCs w:val="26"/>
        </w:rPr>
      </w:pPr>
      <w:r w:rsidRPr="008D2778">
        <w:rPr>
          <w:rFonts w:ascii="Segoe UI Semibold" w:eastAsia="Times New Roman" w:hAnsi="Segoe UI Semibold" w:cs="Segoe UI Semibold"/>
          <w:color w:val="004D72"/>
          <w:sz w:val="48"/>
          <w:szCs w:val="2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599"/>
        <w:gridCol w:w="1109"/>
        <w:gridCol w:w="1137"/>
        <w:gridCol w:w="1581"/>
      </w:tblGrid>
      <w:tr w:rsidR="008D2778" w:rsidRPr="008D2778" w:rsidTr="00C279B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8D2778" w:rsidRPr="008D2778" w:rsidRDefault="008D2778" w:rsidP="00C279B1">
            <w:pPr>
              <w:spacing w:before="90" w:after="0" w:line="240" w:lineRule="auto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8D2778" w:rsidRPr="008D2778" w:rsidRDefault="008D2778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8D2778" w:rsidRPr="008D2778" w:rsidRDefault="008D2778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8D2778" w:rsidRPr="008D2778" w:rsidRDefault="008D2778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proofErr w:type="spellStart"/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8D2778" w:rsidRPr="008D2778" w:rsidRDefault="008D2778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SE Mean</w:t>
            </w:r>
          </w:p>
        </w:tc>
      </w:tr>
      <w:tr w:rsidR="008D2778" w:rsidRPr="008D2778" w:rsidTr="00C279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C279B1">
            <w:pPr>
              <w:spacing w:before="90" w:after="0" w:line="240" w:lineRule="auto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Sophomores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2.840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0.520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0.13</w:t>
            </w:r>
          </w:p>
        </w:tc>
      </w:tr>
      <w:tr w:rsidR="008D2778" w:rsidRPr="008D2778" w:rsidTr="00C279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C279B1">
            <w:pPr>
              <w:spacing w:before="90" w:after="0" w:line="240" w:lineRule="auto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Juniors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2.981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0.309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0.086</w:t>
            </w:r>
          </w:p>
        </w:tc>
      </w:tr>
    </w:tbl>
    <w:p w:rsidR="008D2778" w:rsidRDefault="008D2778" w:rsidP="008D2778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48"/>
          <w:szCs w:val="26"/>
        </w:rPr>
      </w:pPr>
    </w:p>
    <w:p w:rsidR="008D2778" w:rsidRPr="008D2778" w:rsidRDefault="008D2778" w:rsidP="008D2778">
      <w:pPr>
        <w:rPr>
          <w:sz w:val="40"/>
        </w:rPr>
      </w:pPr>
      <w:r w:rsidRPr="008D2778">
        <w:rPr>
          <w:sz w:val="40"/>
        </w:rPr>
        <w:t>Hypothesis</w:t>
      </w:r>
    </w:p>
    <w:p w:rsidR="008D2778" w:rsidRPr="008D2778" w:rsidRDefault="008D2778" w:rsidP="008D2778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48"/>
          <w:szCs w:val="26"/>
        </w:rPr>
      </w:pPr>
      <w:r w:rsidRPr="008D2778">
        <w:rPr>
          <w:rFonts w:ascii="Segoe UI Semibold" w:eastAsia="Times New Roman" w:hAnsi="Segoe UI Semibold" w:cs="Segoe UI Semibold"/>
          <w:color w:val="004D72"/>
          <w:sz w:val="48"/>
          <w:szCs w:val="26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3"/>
      </w:tblGrid>
      <w:tr w:rsidR="008D2778" w:rsidRPr="008D2778" w:rsidTr="008D277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8D2778">
            <w:pPr>
              <w:spacing w:before="90" w:after="0" w:line="240" w:lineRule="auto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μ₁: mean of Sophomores</w:t>
            </w:r>
          </w:p>
        </w:tc>
      </w:tr>
      <w:tr w:rsidR="008D2778" w:rsidRPr="008D2778" w:rsidTr="008D277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8D2778">
            <w:pPr>
              <w:spacing w:before="90" w:after="0" w:line="240" w:lineRule="auto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µ₂: mean of Juniors</w:t>
            </w:r>
          </w:p>
        </w:tc>
      </w:tr>
      <w:tr w:rsidR="008D2778" w:rsidRPr="008D2778" w:rsidTr="008D277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8D2778">
            <w:pPr>
              <w:spacing w:before="90" w:after="0" w:line="240" w:lineRule="auto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Difference: μ₁ - µ₂</w:t>
            </w:r>
          </w:p>
        </w:tc>
      </w:tr>
    </w:tbl>
    <w:p w:rsidR="008D2778" w:rsidRDefault="008D2778" w:rsidP="008D2778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32"/>
          <w:szCs w:val="17"/>
        </w:rPr>
      </w:pPr>
      <w:r w:rsidRPr="008D2778">
        <w:rPr>
          <w:rFonts w:ascii="Segoe UI" w:eastAsia="Times New Roman" w:hAnsi="Segoe UI" w:cs="Segoe UI"/>
          <w:i/>
          <w:iCs/>
          <w:sz w:val="32"/>
          <w:szCs w:val="17"/>
        </w:rPr>
        <w:t>Equal variances are assumed for this analysis.</w:t>
      </w:r>
    </w:p>
    <w:p w:rsidR="00930FE9" w:rsidRPr="008D2778" w:rsidRDefault="00930FE9" w:rsidP="008D2778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32"/>
          <w:szCs w:val="17"/>
        </w:rPr>
      </w:pPr>
    </w:p>
    <w:p w:rsidR="00930FE9" w:rsidRPr="008D2778" w:rsidRDefault="00930FE9" w:rsidP="00930FE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48"/>
          <w:szCs w:val="26"/>
        </w:rPr>
      </w:pPr>
      <w:r w:rsidRPr="008D2778">
        <w:rPr>
          <w:rFonts w:ascii="Segoe UI Semibold" w:eastAsia="Times New Roman" w:hAnsi="Segoe UI Semibold" w:cs="Segoe UI Semibold"/>
          <w:color w:val="004D72"/>
          <w:sz w:val="48"/>
          <w:szCs w:val="2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6554"/>
      </w:tblGrid>
      <w:tr w:rsidR="00DC37CB" w:rsidRPr="008D2778" w:rsidTr="00C279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30FE9" w:rsidRPr="008D2778" w:rsidRDefault="00930FE9" w:rsidP="00C279B1">
            <w:pPr>
              <w:spacing w:before="90" w:after="0" w:line="240" w:lineRule="auto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30FE9" w:rsidRPr="008D2778" w:rsidRDefault="00930FE9" w:rsidP="00C279B1">
            <w:pPr>
              <w:spacing w:before="90" w:after="0" w:line="240" w:lineRule="auto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H₀: μ₁ - µ₂ = 0</w:t>
            </w:r>
            <w:r w:rsidR="00DC37CB">
              <w:rPr>
                <w:rFonts w:ascii="Segoe UI" w:eastAsia="Times New Roman" w:hAnsi="Segoe UI" w:cs="Segoe UI"/>
                <w:sz w:val="36"/>
                <w:szCs w:val="20"/>
              </w:rPr>
              <w:t>(Mean GPA of two groups area same)</w:t>
            </w:r>
          </w:p>
        </w:tc>
      </w:tr>
      <w:tr w:rsidR="00DC37CB" w:rsidRPr="008D2778" w:rsidTr="00C279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30FE9" w:rsidRPr="008D2778" w:rsidRDefault="00930FE9" w:rsidP="00C279B1">
            <w:pPr>
              <w:spacing w:before="90" w:after="0" w:line="240" w:lineRule="auto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30FE9" w:rsidRPr="008D2778" w:rsidRDefault="00930FE9" w:rsidP="00C279B1">
            <w:pPr>
              <w:spacing w:before="90" w:after="0" w:line="240" w:lineRule="auto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H₁: μ₁ - µ₂ ≠ 0</w:t>
            </w:r>
            <w:r w:rsidR="00DC37CB">
              <w:rPr>
                <w:rFonts w:ascii="Segoe UI" w:eastAsia="Times New Roman" w:hAnsi="Segoe UI" w:cs="Segoe UI"/>
                <w:sz w:val="36"/>
                <w:szCs w:val="20"/>
              </w:rPr>
              <w:t>(Mean GPA of two groups are not same)</w:t>
            </w:r>
            <w:bookmarkStart w:id="0" w:name="_GoBack"/>
            <w:bookmarkEnd w:id="0"/>
          </w:p>
        </w:tc>
      </w:tr>
    </w:tbl>
    <w:p w:rsidR="00930FE9" w:rsidRPr="008D2778" w:rsidRDefault="00930FE9" w:rsidP="00930FE9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36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639"/>
        <w:gridCol w:w="1442"/>
      </w:tblGrid>
      <w:tr w:rsidR="00930FE9" w:rsidRPr="008D2778" w:rsidTr="00C279B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30FE9" w:rsidRPr="008D2778" w:rsidRDefault="00930FE9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30FE9" w:rsidRPr="008D2778" w:rsidRDefault="00930FE9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30FE9" w:rsidRPr="008D2778" w:rsidRDefault="00930FE9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P-Value</w:t>
            </w:r>
          </w:p>
        </w:tc>
      </w:tr>
      <w:tr w:rsidR="00930FE9" w:rsidRPr="008D2778" w:rsidTr="00C279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30FE9" w:rsidRPr="008D2778" w:rsidRDefault="00930FE9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-0.86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30FE9" w:rsidRPr="008D2778" w:rsidRDefault="00930FE9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30FE9" w:rsidRPr="008D2778" w:rsidRDefault="00930FE9" w:rsidP="00C279B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0.395</w:t>
            </w:r>
          </w:p>
        </w:tc>
      </w:tr>
    </w:tbl>
    <w:p w:rsidR="008D2778" w:rsidRPr="008D2778" w:rsidRDefault="008D2778">
      <w:pPr>
        <w:rPr>
          <w:sz w:val="40"/>
        </w:rPr>
      </w:pPr>
    </w:p>
    <w:p w:rsidR="008D2778" w:rsidRPr="008D2778" w:rsidRDefault="008D2778">
      <w:pPr>
        <w:rPr>
          <w:sz w:val="40"/>
        </w:rPr>
      </w:pPr>
    </w:p>
    <w:p w:rsidR="008D2778" w:rsidRPr="008D2778" w:rsidRDefault="008D2778" w:rsidP="008D2778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48"/>
          <w:szCs w:val="26"/>
        </w:rPr>
      </w:pPr>
      <w:r w:rsidRPr="008D2778">
        <w:rPr>
          <w:rFonts w:ascii="Segoe UI Semibold" w:eastAsia="Times New Roman" w:hAnsi="Segoe UI Semibold" w:cs="Segoe UI Semibold"/>
          <w:color w:val="004D72"/>
          <w:sz w:val="48"/>
          <w:szCs w:val="26"/>
        </w:rPr>
        <w:t>Estimation for Difference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321"/>
        <w:gridCol w:w="2457"/>
      </w:tblGrid>
      <w:tr w:rsidR="008D2778" w:rsidRPr="008D2778" w:rsidTr="008D2778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8D2778" w:rsidRPr="008D2778" w:rsidRDefault="008D2778" w:rsidP="008D277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8D2778" w:rsidRPr="008D2778" w:rsidRDefault="008D2778" w:rsidP="008D277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Pooled</w:t>
            </w: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br/>
            </w:r>
            <w:proofErr w:type="spellStart"/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8D2778" w:rsidRPr="008D2778" w:rsidRDefault="008D2778" w:rsidP="008D2778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95% CI for</w:t>
            </w: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br/>
              <w:t>Difference</w:t>
            </w:r>
          </w:p>
        </w:tc>
      </w:tr>
      <w:tr w:rsidR="008D2778" w:rsidRPr="008D2778" w:rsidTr="008D277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8D277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-0.141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8D277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0.442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D2778" w:rsidRPr="008D2778" w:rsidRDefault="008D2778" w:rsidP="008D2778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36"/>
                <w:szCs w:val="20"/>
              </w:rPr>
            </w:pPr>
            <w:r w:rsidRPr="008D2778">
              <w:rPr>
                <w:rFonts w:ascii="Segoe UI" w:eastAsia="Times New Roman" w:hAnsi="Segoe UI" w:cs="Segoe UI"/>
                <w:sz w:val="36"/>
                <w:szCs w:val="20"/>
              </w:rPr>
              <w:t>(-0.474, 0.193)</w:t>
            </w:r>
          </w:p>
        </w:tc>
      </w:tr>
    </w:tbl>
    <w:p w:rsidR="008D2778" w:rsidRPr="008D2778" w:rsidRDefault="008D2778">
      <w:pPr>
        <w:rPr>
          <w:sz w:val="40"/>
        </w:rPr>
      </w:pPr>
    </w:p>
    <w:p w:rsidR="008D2778" w:rsidRDefault="00930FE9">
      <w:pPr>
        <w:rPr>
          <w:sz w:val="40"/>
        </w:rPr>
      </w:pPr>
      <w:proofErr w:type="spellStart"/>
      <w:r>
        <w:rPr>
          <w:sz w:val="40"/>
        </w:rPr>
        <w:t>Conlcusio</w:t>
      </w:r>
      <w:proofErr w:type="spellEnd"/>
      <w:r>
        <w:rPr>
          <w:sz w:val="40"/>
        </w:rPr>
        <w:t>:</w:t>
      </w:r>
    </w:p>
    <w:p w:rsidR="00930FE9" w:rsidRPr="008D2778" w:rsidRDefault="00930FE9">
      <w:pPr>
        <w:rPr>
          <w:sz w:val="40"/>
        </w:rPr>
      </w:pPr>
      <w:r>
        <w:rPr>
          <w:sz w:val="40"/>
        </w:rPr>
        <w:t xml:space="preserve">Since p value of the test is 0.395 is greater than the significance </w:t>
      </w:r>
      <w:proofErr w:type="gramStart"/>
      <w:r>
        <w:rPr>
          <w:sz w:val="40"/>
        </w:rPr>
        <w:t>probability</w:t>
      </w:r>
      <w:r w:rsidR="00320241">
        <w:rPr>
          <w:sz w:val="40"/>
        </w:rPr>
        <w:t>(</w:t>
      </w:r>
      <w:proofErr w:type="gramEnd"/>
      <w:r w:rsidR="00320241">
        <w:rPr>
          <w:sz w:val="40"/>
        </w:rPr>
        <w:t>0.05)</w:t>
      </w:r>
      <w:r>
        <w:rPr>
          <w:sz w:val="40"/>
        </w:rPr>
        <w:t xml:space="preserve">, we accept null hypothesis that there is no significant difference in the average </w:t>
      </w:r>
      <w:proofErr w:type="spellStart"/>
      <w:r>
        <w:rPr>
          <w:sz w:val="40"/>
        </w:rPr>
        <w:t>gpa</w:t>
      </w:r>
      <w:proofErr w:type="spellEnd"/>
      <w:r>
        <w:rPr>
          <w:sz w:val="40"/>
        </w:rPr>
        <w:t xml:space="preserve"> of two groups </w:t>
      </w:r>
      <w:proofErr w:type="spellStart"/>
      <w:r>
        <w:rPr>
          <w:sz w:val="40"/>
        </w:rPr>
        <w:t>I,ei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sophmores</w:t>
      </w:r>
      <w:proofErr w:type="spellEnd"/>
      <w:r>
        <w:rPr>
          <w:sz w:val="40"/>
        </w:rPr>
        <w:t xml:space="preserve"> and juniors.</w:t>
      </w:r>
    </w:p>
    <w:sectPr w:rsidR="00930FE9" w:rsidRPr="008D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A702B"/>
    <w:multiLevelType w:val="hybridMultilevel"/>
    <w:tmpl w:val="E72AD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78"/>
    <w:rsid w:val="00320241"/>
    <w:rsid w:val="008D2778"/>
    <w:rsid w:val="00930FE9"/>
    <w:rsid w:val="00DC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CB82"/>
  <w15:chartTrackingRefBased/>
  <w15:docId w15:val="{88B32349-B024-43AE-8969-9F731A3A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331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341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892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11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845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75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94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735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4</cp:revision>
  <dcterms:created xsi:type="dcterms:W3CDTF">2025-01-08T05:36:00Z</dcterms:created>
  <dcterms:modified xsi:type="dcterms:W3CDTF">2025-01-08T05:57:00Z</dcterms:modified>
</cp:coreProperties>
</file>