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2400"/>
        <w:jc w:val="center"/>
      </w:pPr>
      <w:r>
        <w:rPr>
          <w:rFonts w:ascii="Times New Roman" w:cs="Times New Roman" w:eastAsia="Times New Roman" w:hAnsi="Times New Roman"/>
          <w:b/>
          <w:bCs/>
          <w:sz w:val="32"/>
          <w:szCs w:val="32"/>
        </w:rPr>
        <w:t xml:space="preserve">CASE STUDY</w:t>
      </w:r>
    </w:p>
    <w:p>
      <w:pPr>
        <w:spacing w:after="200"/>
        <w:jc w:val="center"/>
      </w:pPr>
      <w:r>
        <w:rPr>
          <w:rFonts w:ascii="Times New Roman" w:cs="Times New Roman" w:eastAsia="Times New Roman" w:hAnsi="Times New Roman"/>
          <w:b/>
          <w:bCs/>
          <w:sz w:val="40"/>
          <w:szCs w:val="40"/>
        </w:rPr>
        <w:t xml:space="preserve">E-Governance Initiatives in the United States of America</w:t>
      </w:r>
    </w:p>
    <w:p>
      <w:pPr>
        <w:spacing w:after="200"/>
        <w:jc w:val="center"/>
      </w:pPr>
      <w:r>
        <w:rPr>
          <w:rFonts w:ascii="Times New Roman" w:cs="Times New Roman" w:eastAsia="Times New Roman" w:hAnsi="Times New Roman"/>
          <w:sz w:val="28"/>
          <w:szCs w:val="28"/>
        </w:rPr>
        <w:t xml:space="preserve">Evolution, Key Programs, Challenges and Lessons Learned</w:t>
      </w:r>
    </w:p>
    <w:p>
      <w:pPr>
        <w:spacing w:before="1800"/>
      </w:pPr>
    </w:p>
    <w:p>
      <w:pPr>
        <w:spacing w:after="200"/>
        <w:jc w:val="center"/>
      </w:pPr>
      <w:r>
        <w:rPr>
          <w:rFonts w:ascii="Times New Roman" w:cs="Times New Roman" w:eastAsia="Times New Roman" w:hAnsi="Times New Roman"/>
          <w:sz w:val="26"/>
          <w:szCs w:val="26"/>
        </w:rPr>
        <w:t xml:space="preserve">Submitted by: Ayush</w:t>
      </w:r>
    </w:p>
    <w:p>
      <w:pPr>
        <w:spacing w:after="200"/>
        <w:jc w:val="center"/>
      </w:pPr>
      <w:r>
        <w:rPr>
          <w:rFonts w:ascii="Times New Roman" w:cs="Times New Roman" w:eastAsia="Times New Roman" w:hAnsi="Times New Roman"/>
          <w:sz w:val="24"/>
          <w:szCs w:val="24"/>
        </w:rPr>
        <w:t xml:space="preserve">Program: Bachelor of Science in Computer Science and Information Technology</w:t>
      </w:r>
    </w:p>
    <w:p>
      <w:pPr>
        <w:spacing w:after="200"/>
        <w:jc w:val="center"/>
      </w:pPr>
      <w:r>
        <w:rPr>
          <w:rFonts w:ascii="Times New Roman" w:cs="Times New Roman" w:eastAsia="Times New Roman" w:hAnsi="Times New Roman"/>
          <w:sz w:val="24"/>
          <w:szCs w:val="24"/>
        </w:rPr>
        <w:t xml:space="preserve">Course: E-Governance</w:t>
      </w:r>
    </w:p>
    <w:p>
      <w:pPr>
        <w:spacing w:after="200"/>
        <w:jc w:val="center"/>
      </w:pPr>
      <w:r>
        <w:rPr>
          <w:rFonts w:ascii="Times New Roman" w:cs="Times New Roman" w:eastAsia="Times New Roman" w:hAnsi="Times New Roman"/>
          <w:sz w:val="24"/>
          <w:szCs w:val="24"/>
        </w:rPr>
        <w:t xml:space="preserve">Submitted to: ____________________</w:t>
      </w:r>
    </w:p>
    <w:p>
      <w:pPr>
        <w:spacing w:after="200"/>
        <w:jc w:val="center"/>
      </w:pPr>
      <w:r>
        <w:rPr>
          <w:rFonts w:ascii="Times New Roman" w:cs="Times New Roman" w:eastAsia="Times New Roman" w:hAnsi="Times New Roman"/>
          <w:sz w:val="24"/>
          <w:szCs w:val="24"/>
        </w:rPr>
        <w:t xml:space="preserve">Date: September 2026</w:t>
      </w:r>
    </w:p>
    <w:p>
      <w:r>
        <w:br w:type="page"/>
      </w:r>
    </w:p>
    <w:p>
      <w:pPr>
        <w:pStyle w:val="Heading1"/>
        <w:spacing w:after="160" w:before="320"/>
      </w:pPr>
      <w:r>
        <w:rPr>
          <w:rFonts w:ascii="Times New Roman" w:cs="Times New Roman" w:eastAsia="Times New Roman" w:hAnsi="Times New Roman"/>
          <w:b/>
          <w:bCs/>
          <w:sz w:val="28"/>
          <w:szCs w:val="28"/>
        </w:rPr>
        <w:t xml:space="preserve">Abstract</w:t>
      </w:r>
    </w:p>
    <w:p>
      <w:pPr>
        <w:spacing w:after="160" w:line="360"/>
        <w:jc w:val="both"/>
      </w:pPr>
      <w:r>
        <w:rPr>
          <w:rFonts w:ascii="Times New Roman" w:cs="Times New Roman" w:eastAsia="Times New Roman" w:hAnsi="Times New Roman"/>
          <w:sz w:val="24"/>
          <w:szCs w:val="24"/>
        </w:rPr>
        <w:t xml:space="preserve">This case study examines e-governance in the United States, from the E-Government Act of 2002 to recent programs such as Login.gov and the 21st Century IDEA Act. It outlines the legal framework, the main federal initiatives, and the results achieved in transparency, service delivery and efficiency. It also studies the HealthCare.gov launch failure of 2013 and the creation of the U.S. Digital Service as a response. The study finds that the U.S. approach is decentralised and law-driven, with strong open data and shared platforms but persistent problems with legacy systems, procurement, and uneven service quality across agencies.</w:t>
      </w:r>
    </w:p>
    <w:p>
      <w:pPr>
        <w:pStyle w:val="Heading1"/>
        <w:spacing w:after="160" w:before="320"/>
      </w:pPr>
      <w:r>
        <w:rPr>
          <w:rFonts w:ascii="Times New Roman" w:cs="Times New Roman" w:eastAsia="Times New Roman" w:hAnsi="Times New Roman"/>
          <w:b/>
          <w:bCs/>
          <w:sz w:val="28"/>
          <w:szCs w:val="28"/>
        </w:rPr>
        <w:t xml:space="preserve">1. Introduction</w:t>
      </w:r>
    </w:p>
    <w:p>
      <w:pPr>
        <w:spacing w:after="160" w:line="360"/>
        <w:jc w:val="both"/>
      </w:pPr>
      <w:r>
        <w:rPr>
          <w:rFonts w:ascii="Times New Roman" w:cs="Times New Roman" w:eastAsia="Times New Roman" w:hAnsi="Times New Roman"/>
          <w:sz w:val="24"/>
          <w:szCs w:val="24"/>
        </w:rPr>
        <w:t xml:space="preserve">E-governance means the use of information and communication technology (ICT) to deliver government services, share information, and involve citizens in decisions. It goes beyond putting forms online. It covers government-to-citizen (G2C), government-to-business (G2B), government-to-government (G2G) and internal efficiency (G2E) relationships.</w:t>
      </w:r>
    </w:p>
    <w:p>
      <w:pPr>
        <w:spacing w:after="160" w:line="360"/>
        <w:jc w:val="both"/>
      </w:pPr>
      <w:r>
        <w:rPr>
          <w:rFonts w:ascii="Times New Roman" w:cs="Times New Roman" w:eastAsia="Times New Roman" w:hAnsi="Times New Roman"/>
          <w:sz w:val="24"/>
          <w:szCs w:val="24"/>
        </w:rPr>
        <w:t xml:space="preserve">The United States is one of the earliest adopters of e-government. Its federal structure means that responsibility is shared between federal agencies, 50 states, and thousands of local governments. This makes the U.S. a useful case for studying how large, decentralised systems adopt digital services.</w:t>
      </w:r>
    </w:p>
    <w:p>
      <w:pPr>
        <w:pStyle w:val="Heading2"/>
        <w:spacing w:after="120" w:before="200"/>
      </w:pPr>
      <w:r>
        <w:rPr>
          <w:rFonts w:ascii="Times New Roman" w:cs="Times New Roman" w:eastAsia="Times New Roman" w:hAnsi="Times New Roman"/>
          <w:b/>
          <w:bCs/>
          <w:sz w:val="24"/>
          <w:szCs w:val="24"/>
        </w:rPr>
        <w:t xml:space="preserve">1.1 Objectives of the Study</w:t>
      </w:r>
    </w:p>
    <w:p>
      <w:pPr>
        <w:pStyle w:val="ListParagraph"/>
        <w:numPr>
          <w:ilvl w:val="0"/>
          <w:numId w:val="2"/>
        </w:numPr>
        <w:spacing w:after="100" w:line="340"/>
        <w:jc w:val="both"/>
      </w:pPr>
      <w:r>
        <w:rPr>
          <w:rFonts w:ascii="Times New Roman" w:cs="Times New Roman" w:eastAsia="Times New Roman" w:hAnsi="Times New Roman"/>
          <w:sz w:val="24"/>
          <w:szCs w:val="24"/>
        </w:rPr>
        <w:t xml:space="preserve">To understand the legal and policy framework behind U.S. e-governance.</w:t>
      </w:r>
    </w:p>
    <w:p>
      <w:pPr>
        <w:pStyle w:val="ListParagraph"/>
        <w:numPr>
          <w:ilvl w:val="0"/>
          <w:numId w:val="2"/>
        </w:numPr>
        <w:spacing w:after="100" w:line="340"/>
        <w:jc w:val="both"/>
      </w:pPr>
      <w:r>
        <w:rPr>
          <w:rFonts w:ascii="Times New Roman" w:cs="Times New Roman" w:eastAsia="Times New Roman" w:hAnsi="Times New Roman"/>
          <w:sz w:val="24"/>
          <w:szCs w:val="24"/>
        </w:rPr>
        <w:t xml:space="preserve">To describe major federal e-governance initiatives.</w:t>
      </w:r>
    </w:p>
    <w:p>
      <w:pPr>
        <w:pStyle w:val="ListParagraph"/>
        <w:numPr>
          <w:ilvl w:val="0"/>
          <w:numId w:val="2"/>
        </w:numPr>
        <w:spacing w:after="100" w:line="340"/>
        <w:jc w:val="both"/>
      </w:pPr>
      <w:r>
        <w:rPr>
          <w:rFonts w:ascii="Times New Roman" w:cs="Times New Roman" w:eastAsia="Times New Roman" w:hAnsi="Times New Roman"/>
          <w:sz w:val="24"/>
          <w:szCs w:val="24"/>
        </w:rPr>
        <w:t xml:space="preserve">To analyse the benefits and challenges, using HealthCare.gov as a detailed example.</w:t>
      </w:r>
    </w:p>
    <w:p>
      <w:pPr>
        <w:pStyle w:val="ListParagraph"/>
        <w:numPr>
          <w:ilvl w:val="0"/>
          <w:numId w:val="2"/>
        </w:numPr>
        <w:spacing w:after="100" w:line="340"/>
        <w:jc w:val="both"/>
      </w:pPr>
      <w:r>
        <w:rPr>
          <w:rFonts w:ascii="Times New Roman" w:cs="Times New Roman" w:eastAsia="Times New Roman" w:hAnsi="Times New Roman"/>
          <w:sz w:val="24"/>
          <w:szCs w:val="24"/>
        </w:rPr>
        <w:t xml:space="preserve">To draw lessons useful for other countries, including developing nations.</w:t>
      </w:r>
    </w:p>
    <w:p>
      <w:pPr>
        <w:pStyle w:val="Heading2"/>
        <w:spacing w:after="120" w:before="200"/>
      </w:pPr>
      <w:r>
        <w:rPr>
          <w:rFonts w:ascii="Times New Roman" w:cs="Times New Roman" w:eastAsia="Times New Roman" w:hAnsi="Times New Roman"/>
          <w:b/>
          <w:bCs/>
          <w:sz w:val="24"/>
          <w:szCs w:val="24"/>
        </w:rPr>
        <w:t xml:space="preserve">1.2 Methodology</w:t>
      </w:r>
    </w:p>
    <w:p>
      <w:pPr>
        <w:spacing w:after="160" w:line="360"/>
        <w:jc w:val="both"/>
      </w:pPr>
      <w:r>
        <w:rPr>
          <w:rFonts w:ascii="Times New Roman" w:cs="Times New Roman" w:eastAsia="Times New Roman" w:hAnsi="Times New Roman"/>
          <w:sz w:val="24"/>
          <w:szCs w:val="24"/>
        </w:rPr>
        <w:t xml:space="preserve">This study is based on secondary sources: federal laws, executive policy documents, government audit reports and academic literature listed in the References section.</w:t>
      </w:r>
    </w:p>
    <w:p>
      <w:pPr>
        <w:pStyle w:val="Heading1"/>
        <w:spacing w:after="160" w:before="320"/>
      </w:pPr>
      <w:r>
        <w:rPr>
          <w:rFonts w:ascii="Times New Roman" w:cs="Times New Roman" w:eastAsia="Times New Roman" w:hAnsi="Times New Roman"/>
          <w:b/>
          <w:bCs/>
          <w:sz w:val="28"/>
          <w:szCs w:val="28"/>
        </w:rPr>
        <w:t xml:space="preserve">2. Background and Policy Framework</w:t>
      </w:r>
    </w:p>
    <w:p>
      <w:pPr>
        <w:spacing w:after="160" w:line="360"/>
        <w:jc w:val="both"/>
      </w:pPr>
      <w:r>
        <w:rPr>
          <w:rFonts w:ascii="Times New Roman" w:cs="Times New Roman" w:eastAsia="Times New Roman" w:hAnsi="Times New Roman"/>
          <w:sz w:val="24"/>
          <w:szCs w:val="24"/>
        </w:rPr>
        <w:t xml:space="preserve">U.S. e-government has developed in phases, each guided by law or executive policy.</w:t>
      </w:r>
    </w:p>
    <w:p>
      <w:pPr>
        <w:pStyle w:val="ListParagraph"/>
        <w:numPr>
          <w:ilvl w:val="0"/>
          <w:numId w:val="2"/>
        </w:numPr>
        <w:spacing w:after="100" w:line="340"/>
        <w:jc w:val="both"/>
      </w:pPr>
      <w:r>
        <w:rPr>
          <w:rFonts w:ascii="Times New Roman" w:cs="Times New Roman" w:eastAsia="Times New Roman" w:hAnsi="Times New Roman"/>
          <w:b/>
          <w:bCs/>
          <w:sz w:val="24"/>
          <w:szCs w:val="24"/>
        </w:rPr>
        <w:t xml:space="preserve">Phase 1: </w:t>
      </w:r>
      <w:r>
        <w:rPr>
          <w:rFonts w:ascii="Times New Roman" w:cs="Times New Roman" w:eastAsia="Times New Roman" w:hAnsi="Times New Roman"/>
          <w:sz w:val="24"/>
          <w:szCs w:val="24"/>
        </w:rPr>
        <w:t xml:space="preserve">Early computerisation (1980s to 1990s): agencies automated internal work. The IRS began electronic filing of tax returns in the 1980s, which grew into a mainstream method. The Paperwork Reduction Act and the Clinger-Cohen Act (1996) introduced IT management responsibilities and the agency CIO role.</w:t>
      </w:r>
    </w:p>
    <w:p>
      <w:pPr>
        <w:pStyle w:val="ListParagraph"/>
        <w:numPr>
          <w:ilvl w:val="0"/>
          <w:numId w:val="2"/>
        </w:numPr>
        <w:spacing w:after="100" w:line="340"/>
        <w:jc w:val="both"/>
      </w:pPr>
      <w:r>
        <w:rPr>
          <w:rFonts w:ascii="Times New Roman" w:cs="Times New Roman" w:eastAsia="Times New Roman" w:hAnsi="Times New Roman"/>
          <w:b/>
          <w:bCs/>
          <w:sz w:val="24"/>
          <w:szCs w:val="24"/>
        </w:rPr>
        <w:t xml:space="preserve">Phase 2: </w:t>
      </w:r>
      <w:r>
        <w:rPr>
          <w:rFonts w:ascii="Times New Roman" w:cs="Times New Roman" w:eastAsia="Times New Roman" w:hAnsi="Times New Roman"/>
          <w:sz w:val="24"/>
          <w:szCs w:val="24"/>
        </w:rPr>
        <w:t xml:space="preserve">Web portals (2000 to 2008): the E-Government Act of 2002 created the Office of E-Government within the Office of Management and Budget (OMB) and a Federal CIO position. It also promoted cross-agency portals such as USA.gov and Regulations.gov, and required information security programs under FISMA.</w:t>
      </w:r>
    </w:p>
    <w:p>
      <w:pPr>
        <w:pStyle w:val="ListParagraph"/>
        <w:numPr>
          <w:ilvl w:val="0"/>
          <w:numId w:val="2"/>
        </w:numPr>
        <w:spacing w:after="100" w:line="340"/>
        <w:jc w:val="both"/>
      </w:pPr>
      <w:r>
        <w:rPr>
          <w:rFonts w:ascii="Times New Roman" w:cs="Times New Roman" w:eastAsia="Times New Roman" w:hAnsi="Times New Roman"/>
          <w:b/>
          <w:bCs/>
          <w:sz w:val="24"/>
          <w:szCs w:val="24"/>
        </w:rPr>
        <w:t xml:space="preserve">Phase 3: </w:t>
      </w:r>
      <w:r>
        <w:rPr>
          <w:rFonts w:ascii="Times New Roman" w:cs="Times New Roman" w:eastAsia="Times New Roman" w:hAnsi="Times New Roman"/>
          <w:sz w:val="24"/>
          <w:szCs w:val="24"/>
        </w:rPr>
        <w:t xml:space="preserve">Open government (2009 to 2013): the Open Government Directive of 2009 required agencies to publish high-value data, leading to Data.gov. The 2012 Digital Government Strategy promoted a "digital first" and mobile-ready approach.</w:t>
      </w:r>
    </w:p>
    <w:p>
      <w:pPr>
        <w:pStyle w:val="ListParagraph"/>
        <w:numPr>
          <w:ilvl w:val="0"/>
          <w:numId w:val="2"/>
        </w:numPr>
        <w:spacing w:after="100" w:line="340"/>
        <w:jc w:val="both"/>
      </w:pPr>
      <w:r>
        <w:rPr>
          <w:rFonts w:ascii="Times New Roman" w:cs="Times New Roman" w:eastAsia="Times New Roman" w:hAnsi="Times New Roman"/>
          <w:b/>
          <w:bCs/>
          <w:sz w:val="24"/>
          <w:szCs w:val="24"/>
        </w:rPr>
        <w:t xml:space="preserve">Phase 4: </w:t>
      </w:r>
      <w:r>
        <w:rPr>
          <w:rFonts w:ascii="Times New Roman" w:cs="Times New Roman" w:eastAsia="Times New Roman" w:hAnsi="Times New Roman"/>
          <w:sz w:val="24"/>
          <w:szCs w:val="24"/>
        </w:rPr>
        <w:t xml:space="preserve">Delivery reform (2014 onward): after HealthCare.gov, the government created the U.S. Digital Service and 18F, adopted agile methods, and built shared services such as Login.gov. The 21st Century IDEA Act of 2018 made modern web design and digital forms a legal requirement.</w:t>
      </w:r>
    </w:p>
    <w:p>
      <w:pPr>
        <w:pStyle w:val="Heading1"/>
        <w:spacing w:after="160" w:before="320"/>
      </w:pPr>
      <w:r>
        <w:rPr>
          <w:rFonts w:ascii="Times New Roman" w:cs="Times New Roman" w:eastAsia="Times New Roman" w:hAnsi="Times New Roman"/>
          <w:b/>
          <w:bCs/>
          <w:sz w:val="28"/>
          <w:szCs w:val="28"/>
        </w:rPr>
        <w:t xml:space="preserve">3. Major E-Governance Initiatives</w:t>
      </w:r>
    </w:p>
    <w:p>
      <w:pPr>
        <w:spacing w:after="160" w:line="360"/>
        <w:jc w:val="both"/>
      </w:pPr>
      <w:r>
        <w:rPr>
          <w:rFonts w:ascii="Times New Roman" w:cs="Times New Roman" w:eastAsia="Times New Roman" w:hAnsi="Times New Roman"/>
          <w:sz w:val="24"/>
          <w:szCs w:val="24"/>
        </w:rPr>
        <w:t xml:space="preserve">Table 1 summarises the main federal initiatives. They are grouped below by purpose.</w:t>
      </w:r>
    </w:p>
    <w:p>
      <w:pPr>
        <w:spacing w:after="240" w:before="120"/>
        <w:jc w:val="center"/>
      </w:pPr>
      <w:r>
        <w:rPr>
          <w:rFonts w:ascii="Times New Roman" w:cs="Times New Roman" w:eastAsia="Times New Roman" w:hAnsi="Times New Roman"/>
          <w:i/>
          <w:iCs/>
          <w:sz w:val="22"/>
          <w:szCs w:val="22"/>
        </w:rPr>
        <w:t xml:space="preserve">Table 1: Key U.S. e-governance initiatives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5426"/>
      </w:tblGrid>
      <w:tr>
        <w:trPr>
          <w:tblHeader/>
        </w:trPr>
        <w:tc>
          <w:tcPr>
            <w:tcW w:type="dxa" w:w="2300"/>
            <w:tcBorders>
              <w:top w:val="single" w:color="000000" w:sz="4"/>
              <w:left w:val="single" w:color="000000" w:sz="4"/>
              <w:bottom w:val="single" w:color="000000" w:sz="4"/>
              <w:right w:val="single" w:color="000000" w:sz="4"/>
            </w:tcBorders>
            <w:shd w:fill="D9E2F3" w:color="auto" w:val="clear"/>
            <w:tcMar>
              <w:top w:type="dxa" w:w="80"/>
              <w:left w:type="dxa" w:w="100"/>
              <w:bottom w:type="dxa" w:w="80"/>
              <w:right w:type="dxa" w:w="100"/>
            </w:tcMar>
          </w:tcPr>
          <w:p>
            <w:r>
              <w:rPr>
                <w:rFonts w:ascii="Times New Roman" w:cs="Times New Roman" w:eastAsia="Times New Roman" w:hAnsi="Times New Roman"/>
                <w:b/>
                <w:bCs/>
                <w:sz w:val="21"/>
                <w:szCs w:val="21"/>
              </w:rPr>
              <w:t xml:space="preserve">Initiative</w:t>
            </w:r>
          </w:p>
        </w:tc>
        <w:tc>
          <w:tcPr>
            <w:tcW w:type="dxa" w:w="1300"/>
            <w:tcBorders>
              <w:top w:val="single" w:color="000000" w:sz="4"/>
              <w:left w:val="single" w:color="000000" w:sz="4"/>
              <w:bottom w:val="single" w:color="000000" w:sz="4"/>
              <w:right w:val="single" w:color="000000" w:sz="4"/>
            </w:tcBorders>
            <w:shd w:fill="D9E2F3" w:color="auto" w:val="clear"/>
            <w:tcMar>
              <w:top w:type="dxa" w:w="80"/>
              <w:left w:type="dxa" w:w="100"/>
              <w:bottom w:type="dxa" w:w="80"/>
              <w:right w:type="dxa" w:w="100"/>
            </w:tcMar>
          </w:tcPr>
          <w:p>
            <w:r>
              <w:rPr>
                <w:rFonts w:ascii="Times New Roman" w:cs="Times New Roman" w:eastAsia="Times New Roman" w:hAnsi="Times New Roman"/>
                <w:b/>
                <w:bCs/>
                <w:sz w:val="21"/>
                <w:szCs w:val="21"/>
              </w:rPr>
              <w:t xml:space="preserve">Year</w:t>
            </w:r>
          </w:p>
        </w:tc>
        <w:tc>
          <w:tcPr>
            <w:tcW w:type="dxa" w:w="5426"/>
            <w:tcBorders>
              <w:top w:val="single" w:color="000000" w:sz="4"/>
              <w:left w:val="single" w:color="000000" w:sz="4"/>
              <w:bottom w:val="single" w:color="000000" w:sz="4"/>
              <w:right w:val="single" w:color="000000" w:sz="4"/>
            </w:tcBorders>
            <w:shd w:fill="D9E2F3" w:color="auto" w:val="clear"/>
            <w:tcMar>
              <w:top w:type="dxa" w:w="80"/>
              <w:left w:type="dxa" w:w="100"/>
              <w:bottom w:type="dxa" w:w="80"/>
              <w:right w:type="dxa" w:w="100"/>
            </w:tcMar>
          </w:tcPr>
          <w:p>
            <w:r>
              <w:rPr>
                <w:rFonts w:ascii="Times New Roman" w:cs="Times New Roman" w:eastAsia="Times New Roman" w:hAnsi="Times New Roman"/>
                <w:b/>
                <w:bCs/>
                <w:sz w:val="21"/>
                <w:szCs w:val="21"/>
              </w:rPr>
              <w:t xml:space="preserve">Purpose</w:t>
            </w:r>
          </w:p>
        </w:tc>
      </w:tr>
      <w:tr>
        <w:trPr>
          <w:tblHeader w:val="false"/>
        </w:trPr>
        <w:tc>
          <w:tcPr>
            <w:tcW w:type="dxa" w:w="23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sz w:val="21"/>
                <w:szCs w:val="21"/>
              </w:rPr>
              <w:t xml:space="preserve">E-Government Act (Public Law 107-347)</w:t>
            </w:r>
          </w:p>
        </w:tc>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sz w:val="21"/>
                <w:szCs w:val="21"/>
              </w:rPr>
              <w:t xml:space="preserve">2002</w:t>
            </w:r>
          </w:p>
        </w:tc>
        <w:tc>
          <w:tcPr>
            <w:tcW w:type="dxa" w:w="5426"/>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sz w:val="21"/>
                <w:szCs w:val="21"/>
              </w:rPr>
              <w:t xml:space="preserve">Created the Office of E-Government in OMB and the Federal CIO role; set the legal basis for federal IT and information security (FISMA).</w:t>
            </w:r>
          </w:p>
        </w:tc>
      </w:tr>
      <w:tr>
        <w:trPr>
          <w:tblHeader w:val="false"/>
        </w:trPr>
        <w:tc>
          <w:tcPr>
            <w:tcW w:type="dxa" w:w="23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sz w:val="21"/>
                <w:szCs w:val="21"/>
              </w:rPr>
              <w:t xml:space="preserve">Regulations.gov</w:t>
            </w:r>
          </w:p>
        </w:tc>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sz w:val="21"/>
                <w:szCs w:val="21"/>
              </w:rPr>
              <w:t xml:space="preserve">2003</w:t>
            </w:r>
          </w:p>
        </w:tc>
        <w:tc>
          <w:tcPr>
            <w:tcW w:type="dxa" w:w="5426"/>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sz w:val="21"/>
                <w:szCs w:val="21"/>
              </w:rPr>
              <w:t xml:space="preserve">Single portal for the public to find and comment on proposed federal rules.</w:t>
            </w:r>
          </w:p>
        </w:tc>
      </w:tr>
      <w:tr>
        <w:trPr>
          <w:tblHeader w:val="false"/>
        </w:trPr>
        <w:tc>
          <w:tcPr>
            <w:tcW w:type="dxa" w:w="23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sz w:val="21"/>
                <w:szCs w:val="21"/>
              </w:rPr>
              <w:t xml:space="preserve">USAspending.gov</w:t>
            </w:r>
          </w:p>
        </w:tc>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sz w:val="21"/>
                <w:szCs w:val="21"/>
              </w:rPr>
              <w:t xml:space="preserve">2007</w:t>
            </w:r>
          </w:p>
        </w:tc>
        <w:tc>
          <w:tcPr>
            <w:tcW w:type="dxa" w:w="5426"/>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sz w:val="21"/>
                <w:szCs w:val="21"/>
              </w:rPr>
              <w:t xml:space="preserve">Public database of federal contracts and grants under the Federal Funding Accountability and Transparency Act (2006).</w:t>
            </w:r>
          </w:p>
        </w:tc>
      </w:tr>
      <w:tr>
        <w:trPr>
          <w:tblHeader w:val="false"/>
        </w:trPr>
        <w:tc>
          <w:tcPr>
            <w:tcW w:type="dxa" w:w="23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sz w:val="21"/>
                <w:szCs w:val="21"/>
              </w:rPr>
              <w:t xml:space="preserve">Open Government Directive / Data.gov</w:t>
            </w:r>
          </w:p>
        </w:tc>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sz w:val="21"/>
                <w:szCs w:val="21"/>
              </w:rPr>
              <w:t xml:space="preserve">2009</w:t>
            </w:r>
          </w:p>
        </w:tc>
        <w:tc>
          <w:tcPr>
            <w:tcW w:type="dxa" w:w="5426"/>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sz w:val="21"/>
                <w:szCs w:val="21"/>
              </w:rPr>
              <w:t xml:space="preserve">Directed agencies to publish data in open formats; Data.gov became the national open data catalogue.</w:t>
            </w:r>
          </w:p>
        </w:tc>
      </w:tr>
      <w:tr>
        <w:trPr>
          <w:tblHeader w:val="false"/>
        </w:trPr>
        <w:tc>
          <w:tcPr>
            <w:tcW w:type="dxa" w:w="23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sz w:val="21"/>
                <w:szCs w:val="21"/>
              </w:rPr>
              <w:t xml:space="preserve">Digital Government Strategy</w:t>
            </w:r>
          </w:p>
        </w:tc>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sz w:val="21"/>
                <w:szCs w:val="21"/>
              </w:rPr>
              <w:t xml:space="preserve">2012</w:t>
            </w:r>
          </w:p>
        </w:tc>
        <w:tc>
          <w:tcPr>
            <w:tcW w:type="dxa" w:w="5426"/>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sz w:val="21"/>
                <w:szCs w:val="21"/>
              </w:rPr>
              <w:t xml:space="preserve">Set a "digital first" approach: open data, mobile-ready services, and shared platforms.</w:t>
            </w:r>
          </w:p>
        </w:tc>
      </w:tr>
      <w:tr>
        <w:trPr>
          <w:tblHeader w:val="false"/>
        </w:trPr>
        <w:tc>
          <w:tcPr>
            <w:tcW w:type="dxa" w:w="23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sz w:val="21"/>
                <w:szCs w:val="21"/>
              </w:rPr>
              <w:t xml:space="preserve">FedRAMP</w:t>
            </w:r>
          </w:p>
        </w:tc>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sz w:val="21"/>
                <w:szCs w:val="21"/>
              </w:rPr>
              <w:t xml:space="preserve">2011</w:t>
            </w:r>
          </w:p>
        </w:tc>
        <w:tc>
          <w:tcPr>
            <w:tcW w:type="dxa" w:w="5426"/>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sz w:val="21"/>
                <w:szCs w:val="21"/>
              </w:rPr>
              <w:t xml:space="preserve">Standard security assessment for cloud services used by federal agencies.</w:t>
            </w:r>
          </w:p>
        </w:tc>
      </w:tr>
      <w:tr>
        <w:trPr>
          <w:tblHeader w:val="false"/>
        </w:trPr>
        <w:tc>
          <w:tcPr>
            <w:tcW w:type="dxa" w:w="23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sz w:val="21"/>
                <w:szCs w:val="21"/>
              </w:rPr>
              <w:t xml:space="preserve">18F and U.S. Digital Service (USDS)</w:t>
            </w:r>
          </w:p>
        </w:tc>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sz w:val="21"/>
                <w:szCs w:val="21"/>
              </w:rPr>
              <w:t xml:space="preserve">2014</w:t>
            </w:r>
          </w:p>
        </w:tc>
        <w:tc>
          <w:tcPr>
            <w:tcW w:type="dxa" w:w="5426"/>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sz w:val="21"/>
                <w:szCs w:val="21"/>
              </w:rPr>
              <w:t xml:space="preserve">In-house technology teams that help agencies build and fix digital services.</w:t>
            </w:r>
          </w:p>
        </w:tc>
      </w:tr>
      <w:tr>
        <w:trPr>
          <w:tblHeader w:val="false"/>
        </w:trPr>
        <w:tc>
          <w:tcPr>
            <w:tcW w:type="dxa" w:w="23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sz w:val="21"/>
                <w:szCs w:val="21"/>
              </w:rPr>
              <w:t xml:space="preserve">Login.gov</w:t>
            </w:r>
          </w:p>
        </w:tc>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sz w:val="21"/>
                <w:szCs w:val="21"/>
              </w:rPr>
              <w:t xml:space="preserve">2017</w:t>
            </w:r>
          </w:p>
        </w:tc>
        <w:tc>
          <w:tcPr>
            <w:tcW w:type="dxa" w:w="5426"/>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sz w:val="21"/>
                <w:szCs w:val="21"/>
              </w:rPr>
              <w:t xml:space="preserve">Shared sign-in and identity verification service for public benefit and service websites.</w:t>
            </w:r>
          </w:p>
        </w:tc>
      </w:tr>
      <w:tr>
        <w:trPr>
          <w:tblHeader w:val="false"/>
        </w:trPr>
        <w:tc>
          <w:tcPr>
            <w:tcW w:type="dxa" w:w="23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sz w:val="21"/>
                <w:szCs w:val="21"/>
              </w:rPr>
              <w:t xml:space="preserve">21st Century IDEA Act</w:t>
            </w:r>
          </w:p>
        </w:tc>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sz w:val="21"/>
                <w:szCs w:val="21"/>
              </w:rPr>
              <w:t xml:space="preserve">2018</w:t>
            </w:r>
          </w:p>
        </w:tc>
        <w:tc>
          <w:tcPr>
            <w:tcW w:type="dxa" w:w="5426"/>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sz w:val="21"/>
                <w:szCs w:val="21"/>
              </w:rPr>
              <w:t xml:space="preserve">Requires modern, accessible, mobile-friendly federal websites and digital forms.</w:t>
            </w:r>
          </w:p>
        </w:tc>
      </w:tr>
    </w:tbl>
    <w:p>
      <w:pPr>
        <w:spacing w:after="200"/>
      </w:pPr>
    </w:p>
    <w:p>
      <w:pPr>
        <w:pStyle w:val="Heading2"/>
        <w:spacing w:after="120" w:before="200"/>
      </w:pPr>
      <w:r>
        <w:rPr>
          <w:rFonts w:ascii="Times New Roman" w:cs="Times New Roman" w:eastAsia="Times New Roman" w:hAnsi="Times New Roman"/>
          <w:b/>
          <w:bCs/>
          <w:sz w:val="24"/>
          <w:szCs w:val="24"/>
        </w:rPr>
        <w:t xml:space="preserve">3.1 Transparency and Open Data</w:t>
      </w:r>
    </w:p>
    <w:p>
      <w:pPr>
        <w:spacing w:after="160" w:line="360"/>
        <w:jc w:val="both"/>
      </w:pPr>
      <w:r>
        <w:rPr>
          <w:rFonts w:ascii="Times New Roman" w:cs="Times New Roman" w:eastAsia="Times New Roman" w:hAnsi="Times New Roman"/>
          <w:sz w:val="24"/>
          <w:szCs w:val="24"/>
        </w:rPr>
        <w:t xml:space="preserve">Data.gov hosts a large catalogue of datasets from federal agencies in machine-readable formats. USAspending.gov, later strengthened by the DATA Act of 2014, allows citizens to trace federal spending on contracts and grants. Regulations.gov lets the public read and comment on proposed rules, which supports participation in rule-making.</w:t>
      </w:r>
    </w:p>
    <w:p>
      <w:pPr>
        <w:pStyle w:val="Heading2"/>
        <w:spacing w:after="120" w:before="200"/>
      </w:pPr>
      <w:r>
        <w:rPr>
          <w:rFonts w:ascii="Times New Roman" w:cs="Times New Roman" w:eastAsia="Times New Roman" w:hAnsi="Times New Roman"/>
          <w:b/>
          <w:bCs/>
          <w:sz w:val="24"/>
          <w:szCs w:val="24"/>
        </w:rPr>
        <w:t xml:space="preserve">3.2 Citizen Services</w:t>
      </w:r>
    </w:p>
    <w:p>
      <w:pPr>
        <w:spacing w:after="160" w:line="360"/>
        <w:jc w:val="both"/>
      </w:pPr>
      <w:r>
        <w:rPr>
          <w:rFonts w:ascii="Times New Roman" w:cs="Times New Roman" w:eastAsia="Times New Roman" w:hAnsi="Times New Roman"/>
          <w:sz w:val="24"/>
          <w:szCs w:val="24"/>
        </w:rPr>
        <w:t xml:space="preserve">USA.gov acts as the government's main information portal. IRS e-file and online payment systems allow most taxpayers to file returns electronically. Login.gov offers one account across participating agencies, reducing the need for separate credentials. Other examples include online passport renewal services, Social Security online accounts, and the Veterans Affairs digital services.</w:t>
      </w:r>
    </w:p>
    <w:p>
      <w:pPr>
        <w:pStyle w:val="Heading2"/>
        <w:spacing w:after="120" w:before="200"/>
      </w:pPr>
      <w:r>
        <w:rPr>
          <w:rFonts w:ascii="Times New Roman" w:cs="Times New Roman" w:eastAsia="Times New Roman" w:hAnsi="Times New Roman"/>
          <w:b/>
          <w:bCs/>
          <w:sz w:val="24"/>
          <w:szCs w:val="24"/>
        </w:rPr>
        <w:t xml:space="preserve">3.3 Shared Infrastructure and Security</w:t>
      </w:r>
    </w:p>
    <w:p>
      <w:pPr>
        <w:spacing w:after="160" w:line="360"/>
        <w:jc w:val="both"/>
      </w:pPr>
      <w:r>
        <w:rPr>
          <w:rFonts w:ascii="Times New Roman" w:cs="Times New Roman" w:eastAsia="Times New Roman" w:hAnsi="Times New Roman"/>
          <w:sz w:val="24"/>
          <w:szCs w:val="24"/>
        </w:rPr>
        <w:t xml:space="preserve">FedRAMP gives agencies a standard, reusable security authorisation for cloud products, which lowers duplicated effort. The Cloud First and later Cloud Smart policies encouraged agencies to move from self-hosted systems to cloud services. Federal information security is guided by FISMA and standards from the National Institute of Standards and Technology (NIST).</w:t>
      </w:r>
    </w:p>
    <w:p>
      <w:pPr>
        <w:pStyle w:val="Heading2"/>
        <w:spacing w:after="120" w:before="200"/>
      </w:pPr>
      <w:r>
        <w:rPr>
          <w:rFonts w:ascii="Times New Roman" w:cs="Times New Roman" w:eastAsia="Times New Roman" w:hAnsi="Times New Roman"/>
          <w:b/>
          <w:bCs/>
          <w:sz w:val="24"/>
          <w:szCs w:val="24"/>
        </w:rPr>
        <w:t xml:space="preserve">3.4 Accessibility</w:t>
      </w:r>
    </w:p>
    <w:p>
      <w:pPr>
        <w:spacing w:after="160" w:line="360"/>
        <w:jc w:val="both"/>
      </w:pPr>
      <w:r>
        <w:rPr>
          <w:rFonts w:ascii="Times New Roman" w:cs="Times New Roman" w:eastAsia="Times New Roman" w:hAnsi="Times New Roman"/>
          <w:sz w:val="24"/>
          <w:szCs w:val="24"/>
        </w:rPr>
        <w:t xml:space="preserve">Section 508 of the Rehabilitation Act requires federal electronic information to be accessible to people with disabilities. The 21st Century IDEA Act reinforces accessibility together with consistent design and mobile compatibility.</w:t>
      </w:r>
    </w:p>
    <w:p>
      <w:pPr>
        <w:pStyle w:val="Heading1"/>
        <w:spacing w:after="160" w:before="320"/>
      </w:pPr>
      <w:r>
        <w:rPr>
          <w:rFonts w:ascii="Times New Roman" w:cs="Times New Roman" w:eastAsia="Times New Roman" w:hAnsi="Times New Roman"/>
          <w:b/>
          <w:bCs/>
          <w:sz w:val="28"/>
          <w:szCs w:val="28"/>
        </w:rPr>
        <w:t xml:space="preserve">4. Detailed Case: HealthCare.gov and the Rise of the U.S. Digital Service</w:t>
      </w:r>
    </w:p>
    <w:p>
      <w:pPr>
        <w:pStyle w:val="Heading2"/>
        <w:spacing w:after="120" w:before="200"/>
      </w:pPr>
      <w:r>
        <w:rPr>
          <w:rFonts w:ascii="Times New Roman" w:cs="Times New Roman" w:eastAsia="Times New Roman" w:hAnsi="Times New Roman"/>
          <w:b/>
          <w:bCs/>
          <w:sz w:val="24"/>
          <w:szCs w:val="24"/>
        </w:rPr>
        <w:t xml:space="preserve">4.1 What Happened</w:t>
      </w:r>
    </w:p>
    <w:p>
      <w:pPr>
        <w:spacing w:after="160" w:line="360"/>
        <w:jc w:val="both"/>
      </w:pPr>
      <w:r>
        <w:rPr>
          <w:rFonts w:ascii="Times New Roman" w:cs="Times New Roman" w:eastAsia="Times New Roman" w:hAnsi="Times New Roman"/>
          <w:sz w:val="24"/>
          <w:szCs w:val="24"/>
        </w:rPr>
        <w:t xml:space="preserve">HealthCare.gov was launched on 1 October 2013 as the online marketplace for health insurance under the Affordable Care Act. At launch the site suffered from slow performance, errors and outages, and many users could not complete enrolment. Audits by the Government Accountability Office pointed to weak planning, unclear responsibility across many contractors, and inadequate oversight and testing before launch.</w:t>
      </w:r>
    </w:p>
    <w:p>
      <w:pPr>
        <w:pStyle w:val="Heading2"/>
        <w:spacing w:after="120" w:before="200"/>
      </w:pPr>
      <w:r>
        <w:rPr>
          <w:rFonts w:ascii="Times New Roman" w:cs="Times New Roman" w:eastAsia="Times New Roman" w:hAnsi="Times New Roman"/>
          <w:b/>
          <w:bCs/>
          <w:sz w:val="24"/>
          <w:szCs w:val="24"/>
        </w:rPr>
        <w:t xml:space="preserve">4.2 Response</w:t>
      </w:r>
    </w:p>
    <w:p>
      <w:pPr>
        <w:spacing w:after="160" w:line="360"/>
        <w:jc w:val="both"/>
      </w:pPr>
      <w:r>
        <w:rPr>
          <w:rFonts w:ascii="Times New Roman" w:cs="Times New Roman" w:eastAsia="Times New Roman" w:hAnsi="Times New Roman"/>
          <w:sz w:val="24"/>
          <w:szCs w:val="24"/>
        </w:rPr>
        <w:t xml:space="preserve">A rescue team of technologists was assembled to stabilise the site, and it was largely working better within a few months. The experience led to the creation of the U.S. Digital Service in 2014 and of 18F within the General Services Administration. Their approach stresses user-centred design, small iterative releases, and hiring technologists into government for short terms.</w:t>
      </w:r>
    </w:p>
    <w:p>
      <w:pPr>
        <w:pStyle w:val="Heading2"/>
        <w:spacing w:after="120" w:before="200"/>
      </w:pPr>
      <w:r>
        <w:rPr>
          <w:rFonts w:ascii="Times New Roman" w:cs="Times New Roman" w:eastAsia="Times New Roman" w:hAnsi="Times New Roman"/>
          <w:b/>
          <w:bCs/>
          <w:sz w:val="24"/>
          <w:szCs w:val="24"/>
        </w:rPr>
        <w:t xml:space="preserve">4.3 Significance</w:t>
      </w:r>
    </w:p>
    <w:p>
      <w:pPr>
        <w:spacing w:after="160" w:line="360"/>
        <w:jc w:val="both"/>
      </w:pPr>
      <w:r>
        <w:rPr>
          <w:rFonts w:ascii="Times New Roman" w:cs="Times New Roman" w:eastAsia="Times New Roman" w:hAnsi="Times New Roman"/>
          <w:sz w:val="24"/>
          <w:szCs w:val="24"/>
        </w:rPr>
        <w:t xml:space="preserve">The case shows that e-government failures are usually caused by management, procurement and coordination problems rather than by technology alone. It also shows how a failure can drive lasting institutional reform.</w:t>
      </w:r>
    </w:p>
    <w:p>
      <w:pPr>
        <w:pStyle w:val="Heading1"/>
        <w:spacing w:after="160" w:before="320"/>
      </w:pPr>
      <w:r>
        <w:rPr>
          <w:rFonts w:ascii="Times New Roman" w:cs="Times New Roman" w:eastAsia="Times New Roman" w:hAnsi="Times New Roman"/>
          <w:b/>
          <w:bCs/>
          <w:sz w:val="28"/>
          <w:szCs w:val="28"/>
        </w:rPr>
        <w:t xml:space="preserve">5. Benefits Achieved</w:t>
      </w:r>
    </w:p>
    <w:p>
      <w:pPr>
        <w:pStyle w:val="ListParagraph"/>
        <w:numPr>
          <w:ilvl w:val="0"/>
          <w:numId w:val="2"/>
        </w:numPr>
        <w:spacing w:after="100" w:line="340"/>
        <w:jc w:val="both"/>
      </w:pPr>
      <w:r>
        <w:rPr>
          <w:rFonts w:ascii="Times New Roman" w:cs="Times New Roman" w:eastAsia="Times New Roman" w:hAnsi="Times New Roman"/>
          <w:b/>
          <w:bCs/>
          <w:sz w:val="24"/>
          <w:szCs w:val="24"/>
        </w:rPr>
        <w:t xml:space="preserve">Transparency: </w:t>
      </w:r>
      <w:r>
        <w:rPr>
          <w:rFonts w:ascii="Times New Roman" w:cs="Times New Roman" w:eastAsia="Times New Roman" w:hAnsi="Times New Roman"/>
          <w:sz w:val="24"/>
          <w:szCs w:val="24"/>
        </w:rPr>
        <w:t xml:space="preserve">Open data and spending portals make government activity easier to inspect by citizens, journalists and researchers.</w:t>
      </w:r>
    </w:p>
    <w:p>
      <w:pPr>
        <w:pStyle w:val="ListParagraph"/>
        <w:numPr>
          <w:ilvl w:val="0"/>
          <w:numId w:val="2"/>
        </w:numPr>
        <w:spacing w:after="100" w:line="340"/>
        <w:jc w:val="both"/>
      </w:pPr>
      <w:r>
        <w:rPr>
          <w:rFonts w:ascii="Times New Roman" w:cs="Times New Roman" w:eastAsia="Times New Roman" w:hAnsi="Times New Roman"/>
          <w:b/>
          <w:bCs/>
          <w:sz w:val="24"/>
          <w:szCs w:val="24"/>
        </w:rPr>
        <w:t xml:space="preserve">Convenience and access: </w:t>
      </w:r>
      <w:r>
        <w:rPr>
          <w:rFonts w:ascii="Times New Roman" w:cs="Times New Roman" w:eastAsia="Times New Roman" w:hAnsi="Times New Roman"/>
          <w:sz w:val="24"/>
          <w:szCs w:val="24"/>
        </w:rPr>
        <w:t xml:space="preserve">Online filing, payments and applications reduce paperwork, travel and waiting time.</w:t>
      </w:r>
    </w:p>
    <w:p>
      <w:pPr>
        <w:pStyle w:val="ListParagraph"/>
        <w:numPr>
          <w:ilvl w:val="0"/>
          <w:numId w:val="2"/>
        </w:numPr>
        <w:spacing w:after="100" w:line="340"/>
        <w:jc w:val="both"/>
      </w:pPr>
      <w:r>
        <w:rPr>
          <w:rFonts w:ascii="Times New Roman" w:cs="Times New Roman" w:eastAsia="Times New Roman" w:hAnsi="Times New Roman"/>
          <w:b/>
          <w:bCs/>
          <w:sz w:val="24"/>
          <w:szCs w:val="24"/>
        </w:rPr>
        <w:t xml:space="preserve">Efficiency: </w:t>
      </w:r>
      <w:r>
        <w:rPr>
          <w:rFonts w:ascii="Times New Roman" w:cs="Times New Roman" w:eastAsia="Times New Roman" w:hAnsi="Times New Roman"/>
          <w:sz w:val="24"/>
          <w:szCs w:val="24"/>
        </w:rPr>
        <w:t xml:space="preserve">Shared platforms such as Login.gov and FedRAMP prevent every agency from building the same system separately.</w:t>
      </w:r>
    </w:p>
    <w:p>
      <w:pPr>
        <w:pStyle w:val="ListParagraph"/>
        <w:numPr>
          <w:ilvl w:val="0"/>
          <w:numId w:val="2"/>
        </w:numPr>
        <w:spacing w:after="100" w:line="340"/>
        <w:jc w:val="both"/>
      </w:pPr>
      <w:r>
        <w:rPr>
          <w:rFonts w:ascii="Times New Roman" w:cs="Times New Roman" w:eastAsia="Times New Roman" w:hAnsi="Times New Roman"/>
          <w:b/>
          <w:bCs/>
          <w:sz w:val="24"/>
          <w:szCs w:val="24"/>
        </w:rPr>
        <w:t xml:space="preserve">Participation and innovation: </w:t>
      </w:r>
      <w:r>
        <w:rPr>
          <w:rFonts w:ascii="Times New Roman" w:cs="Times New Roman" w:eastAsia="Times New Roman" w:hAnsi="Times New Roman"/>
          <w:sz w:val="24"/>
          <w:szCs w:val="24"/>
        </w:rPr>
        <w:t xml:space="preserve">Public data has supported private applications and research, and open rule-making gives citizens a formal way to comment.</w:t>
      </w:r>
    </w:p>
    <w:p>
      <w:pPr>
        <w:pStyle w:val="Heading1"/>
        <w:spacing w:after="160" w:before="320"/>
      </w:pPr>
      <w:r>
        <w:rPr>
          <w:rFonts w:ascii="Times New Roman" w:cs="Times New Roman" w:eastAsia="Times New Roman" w:hAnsi="Times New Roman"/>
          <w:b/>
          <w:bCs/>
          <w:sz w:val="28"/>
          <w:szCs w:val="28"/>
        </w:rPr>
        <w:t xml:space="preserve">6. Challenges</w:t>
      </w:r>
    </w:p>
    <w:p>
      <w:pPr>
        <w:pStyle w:val="ListParagraph"/>
        <w:numPr>
          <w:ilvl w:val="0"/>
          <w:numId w:val="2"/>
        </w:numPr>
        <w:spacing w:after="100" w:line="340"/>
        <w:jc w:val="both"/>
      </w:pPr>
      <w:r>
        <w:rPr>
          <w:rFonts w:ascii="Times New Roman" w:cs="Times New Roman" w:eastAsia="Times New Roman" w:hAnsi="Times New Roman"/>
          <w:b/>
          <w:bCs/>
          <w:sz w:val="24"/>
          <w:szCs w:val="24"/>
        </w:rPr>
        <w:t xml:space="preserve">Legacy systems: </w:t>
      </w:r>
      <w:r>
        <w:rPr>
          <w:rFonts w:ascii="Times New Roman" w:cs="Times New Roman" w:eastAsia="Times New Roman" w:hAnsi="Times New Roman"/>
          <w:sz w:val="24"/>
          <w:szCs w:val="24"/>
        </w:rPr>
        <w:t xml:space="preserve">Many agencies rely on decades-old systems that are expensive to maintain and hard to connect with new services.</w:t>
      </w:r>
    </w:p>
    <w:p>
      <w:pPr>
        <w:pStyle w:val="ListParagraph"/>
        <w:numPr>
          <w:ilvl w:val="0"/>
          <w:numId w:val="2"/>
        </w:numPr>
        <w:spacing w:after="100" w:line="340"/>
        <w:jc w:val="both"/>
      </w:pPr>
      <w:r>
        <w:rPr>
          <w:rFonts w:ascii="Times New Roman" w:cs="Times New Roman" w:eastAsia="Times New Roman" w:hAnsi="Times New Roman"/>
          <w:b/>
          <w:bCs/>
          <w:sz w:val="24"/>
          <w:szCs w:val="24"/>
        </w:rPr>
        <w:t xml:space="preserve">Fragmented governance: </w:t>
      </w:r>
      <w:r>
        <w:rPr>
          <w:rFonts w:ascii="Times New Roman" w:cs="Times New Roman" w:eastAsia="Times New Roman" w:hAnsi="Times New Roman"/>
          <w:sz w:val="24"/>
          <w:szCs w:val="24"/>
        </w:rPr>
        <w:t xml:space="preserve">Federal, state and local governments run separate systems, so user experience and quality vary widely.</w:t>
      </w:r>
    </w:p>
    <w:p>
      <w:pPr>
        <w:pStyle w:val="ListParagraph"/>
        <w:numPr>
          <w:ilvl w:val="0"/>
          <w:numId w:val="2"/>
        </w:numPr>
        <w:spacing w:after="100" w:line="340"/>
        <w:jc w:val="both"/>
      </w:pPr>
      <w:r>
        <w:rPr>
          <w:rFonts w:ascii="Times New Roman" w:cs="Times New Roman" w:eastAsia="Times New Roman" w:hAnsi="Times New Roman"/>
          <w:b/>
          <w:bCs/>
          <w:sz w:val="24"/>
          <w:szCs w:val="24"/>
        </w:rPr>
        <w:t xml:space="preserve">Procurement and project management: </w:t>
      </w:r>
      <w:r>
        <w:rPr>
          <w:rFonts w:ascii="Times New Roman" w:cs="Times New Roman" w:eastAsia="Times New Roman" w:hAnsi="Times New Roman"/>
          <w:sz w:val="24"/>
          <w:szCs w:val="24"/>
        </w:rPr>
        <w:t xml:space="preserve">Complex acquisition rules and large multi-contractor projects increase the risk of delay and cost overruns, as HealthCare.gov showed.</w:t>
      </w:r>
    </w:p>
    <w:p>
      <w:pPr>
        <w:pStyle w:val="ListParagraph"/>
        <w:numPr>
          <w:ilvl w:val="0"/>
          <w:numId w:val="2"/>
        </w:numPr>
        <w:spacing w:after="100" w:line="340"/>
        <w:jc w:val="both"/>
      </w:pPr>
      <w:r>
        <w:rPr>
          <w:rFonts w:ascii="Times New Roman" w:cs="Times New Roman" w:eastAsia="Times New Roman" w:hAnsi="Times New Roman"/>
          <w:b/>
          <w:bCs/>
          <w:sz w:val="24"/>
          <w:szCs w:val="24"/>
        </w:rPr>
        <w:t xml:space="preserve">Cybersecurity and privacy: </w:t>
      </w:r>
      <w:r>
        <w:rPr>
          <w:rFonts w:ascii="Times New Roman" w:cs="Times New Roman" w:eastAsia="Times New Roman" w:hAnsi="Times New Roman"/>
          <w:sz w:val="24"/>
          <w:szCs w:val="24"/>
        </w:rPr>
        <w:t xml:space="preserve">Government systems hold sensitive personal data and are frequent targets of cyberattacks. Balancing identity verification with privacy is an ongoing issue.</w:t>
      </w:r>
    </w:p>
    <w:p>
      <w:pPr>
        <w:pStyle w:val="ListParagraph"/>
        <w:numPr>
          <w:ilvl w:val="0"/>
          <w:numId w:val="2"/>
        </w:numPr>
        <w:spacing w:after="100" w:line="340"/>
        <w:jc w:val="both"/>
      </w:pPr>
      <w:r>
        <w:rPr>
          <w:rFonts w:ascii="Times New Roman" w:cs="Times New Roman" w:eastAsia="Times New Roman" w:hAnsi="Times New Roman"/>
          <w:b/>
          <w:bCs/>
          <w:sz w:val="24"/>
          <w:szCs w:val="24"/>
        </w:rPr>
        <w:t xml:space="preserve">Digital divide and inclusion: </w:t>
      </w:r>
      <w:r>
        <w:rPr>
          <w:rFonts w:ascii="Times New Roman" w:cs="Times New Roman" w:eastAsia="Times New Roman" w:hAnsi="Times New Roman"/>
          <w:sz w:val="24"/>
          <w:szCs w:val="24"/>
        </w:rPr>
        <w:t xml:space="preserve">People without reliable internet access or digital skills may be left behind. Identity verification systems can also create barriers for some groups.</w:t>
      </w:r>
    </w:p>
    <w:p>
      <w:pPr>
        <w:pStyle w:val="Heading1"/>
        <w:spacing w:after="160" w:before="320"/>
      </w:pPr>
      <w:r>
        <w:rPr>
          <w:rFonts w:ascii="Times New Roman" w:cs="Times New Roman" w:eastAsia="Times New Roman" w:hAnsi="Times New Roman"/>
          <w:b/>
          <w:bCs/>
          <w:sz w:val="28"/>
          <w:szCs w:val="28"/>
        </w:rPr>
        <w:t xml:space="preserve">7. Analysis</w:t>
      </w:r>
    </w:p>
    <w:p>
      <w:pPr>
        <w:spacing w:after="160" w:line="360"/>
        <w:jc w:val="both"/>
      </w:pPr>
      <w:r>
        <w:rPr>
          <w:rFonts w:ascii="Times New Roman" w:cs="Times New Roman" w:eastAsia="Times New Roman" w:hAnsi="Times New Roman"/>
          <w:sz w:val="24"/>
          <w:szCs w:val="24"/>
        </w:rPr>
        <w:t xml:space="preserve">The U.S. model is decentralised and largely driven by legislation and OMB policy rather than by one national programme. Its strengths are open data, a strong private technology sector, and a mature legal framework. Its main weakness is inconsistency: no single national digital identity exists, and quality differs by agency. Compared with countries that built a unified national platform, the U.S. has more variety but less integration. Recent reforms show a shift toward shared services and in-house technical capacity to address this gap.</w:t>
      </w:r>
    </w:p>
    <w:p>
      <w:pPr>
        <w:pStyle w:val="Heading1"/>
        <w:spacing w:after="160" w:before="320"/>
      </w:pPr>
      <w:r>
        <w:rPr>
          <w:rFonts w:ascii="Times New Roman" w:cs="Times New Roman" w:eastAsia="Times New Roman" w:hAnsi="Times New Roman"/>
          <w:b/>
          <w:bCs/>
          <w:sz w:val="28"/>
          <w:szCs w:val="28"/>
        </w:rPr>
        <w:t xml:space="preserve">8. Lessons Learned</w:t>
      </w:r>
    </w:p>
    <w:p>
      <w:pPr>
        <w:pStyle w:val="ListParagraph"/>
        <w:numPr>
          <w:ilvl w:val="0"/>
          <w:numId w:val="2"/>
        </w:numPr>
        <w:spacing w:after="100" w:line="340"/>
        <w:jc w:val="both"/>
      </w:pPr>
      <w:r>
        <w:rPr>
          <w:rFonts w:ascii="Times New Roman" w:cs="Times New Roman" w:eastAsia="Times New Roman" w:hAnsi="Times New Roman"/>
          <w:sz w:val="24"/>
          <w:szCs w:val="24"/>
        </w:rPr>
        <w:t xml:space="preserve">Design services around user needs and test with real users before launch.</w:t>
      </w:r>
    </w:p>
    <w:p>
      <w:pPr>
        <w:pStyle w:val="ListParagraph"/>
        <w:numPr>
          <w:ilvl w:val="0"/>
          <w:numId w:val="2"/>
        </w:numPr>
        <w:spacing w:after="100" w:line="340"/>
        <w:jc w:val="both"/>
      </w:pPr>
      <w:r>
        <w:rPr>
          <w:rFonts w:ascii="Times New Roman" w:cs="Times New Roman" w:eastAsia="Times New Roman" w:hAnsi="Times New Roman"/>
          <w:sz w:val="24"/>
          <w:szCs w:val="24"/>
        </w:rPr>
        <w:t xml:space="preserve">Build shared platforms for identity, payments and security instead of duplicating them.</w:t>
      </w:r>
    </w:p>
    <w:p>
      <w:pPr>
        <w:pStyle w:val="ListParagraph"/>
        <w:numPr>
          <w:ilvl w:val="0"/>
          <w:numId w:val="2"/>
        </w:numPr>
        <w:spacing w:after="100" w:line="340"/>
        <w:jc w:val="both"/>
      </w:pPr>
      <w:r>
        <w:rPr>
          <w:rFonts w:ascii="Times New Roman" w:cs="Times New Roman" w:eastAsia="Times New Roman" w:hAnsi="Times New Roman"/>
          <w:sz w:val="24"/>
          <w:szCs w:val="24"/>
        </w:rPr>
        <w:t xml:space="preserve">Keep technical expertise inside government so it can manage contractors effectively.</w:t>
      </w:r>
    </w:p>
    <w:p>
      <w:pPr>
        <w:pStyle w:val="ListParagraph"/>
        <w:numPr>
          <w:ilvl w:val="0"/>
          <w:numId w:val="2"/>
        </w:numPr>
        <w:spacing w:after="100" w:line="340"/>
        <w:jc w:val="both"/>
      </w:pPr>
      <w:r>
        <w:rPr>
          <w:rFonts w:ascii="Times New Roman" w:cs="Times New Roman" w:eastAsia="Times New Roman" w:hAnsi="Times New Roman"/>
          <w:sz w:val="24"/>
          <w:szCs w:val="24"/>
        </w:rPr>
        <w:t xml:space="preserve">Release in small stages and fix issues quickly rather than launching everything at once.</w:t>
      </w:r>
    </w:p>
    <w:p>
      <w:pPr>
        <w:pStyle w:val="ListParagraph"/>
        <w:numPr>
          <w:ilvl w:val="0"/>
          <w:numId w:val="2"/>
        </w:numPr>
        <w:spacing w:after="100" w:line="340"/>
        <w:jc w:val="both"/>
      </w:pPr>
      <w:r>
        <w:rPr>
          <w:rFonts w:ascii="Times New Roman" w:cs="Times New Roman" w:eastAsia="Times New Roman" w:hAnsi="Times New Roman"/>
          <w:sz w:val="24"/>
          <w:szCs w:val="24"/>
        </w:rPr>
        <w:t xml:space="preserve">Support legislation with funding, clear accountability and regular audits.</w:t>
      </w:r>
    </w:p>
    <w:p>
      <w:pPr>
        <w:pStyle w:val="ListParagraph"/>
        <w:numPr>
          <w:ilvl w:val="0"/>
          <w:numId w:val="2"/>
        </w:numPr>
        <w:spacing w:after="100" w:line="340"/>
        <w:jc w:val="both"/>
      </w:pPr>
      <w:r>
        <w:rPr>
          <w:rFonts w:ascii="Times New Roman" w:cs="Times New Roman" w:eastAsia="Times New Roman" w:hAnsi="Times New Roman"/>
          <w:sz w:val="24"/>
          <w:szCs w:val="24"/>
        </w:rPr>
        <w:t xml:space="preserve">Plan for accessibility, privacy and security from the start.</w:t>
      </w:r>
    </w:p>
    <w:p>
      <w:pPr>
        <w:pStyle w:val="Heading1"/>
        <w:spacing w:after="160" w:before="320"/>
      </w:pPr>
      <w:r>
        <w:rPr>
          <w:rFonts w:ascii="Times New Roman" w:cs="Times New Roman" w:eastAsia="Times New Roman" w:hAnsi="Times New Roman"/>
          <w:b/>
          <w:bCs/>
          <w:sz w:val="28"/>
          <w:szCs w:val="28"/>
        </w:rPr>
        <w:t xml:space="preserve">9. Conclusion</w:t>
      </w:r>
    </w:p>
    <w:p>
      <w:pPr>
        <w:spacing w:after="160" w:line="360"/>
        <w:jc w:val="both"/>
      </w:pPr>
      <w:r>
        <w:rPr>
          <w:rFonts w:ascii="Times New Roman" w:cs="Times New Roman" w:eastAsia="Times New Roman" w:hAnsi="Times New Roman"/>
          <w:sz w:val="24"/>
          <w:szCs w:val="24"/>
        </w:rPr>
        <w:t xml:space="preserve">E-governance in the United States has grown from basic web portals into a broader effort to make government transparent, efficient and user-focused. Laws such as the E-Government Act of 2002, the DATA Act and the 21st Century IDEA Act, along with organisations such as the U.S. Digital Service, have shaped this progress. Challenges remain in legacy technology, fragmented systems, security and inclusion. For other countries, the main takeaway is that successful e-governance depends as much on policy, management and people as on technology.</w:t>
      </w:r>
    </w:p>
    <w:p>
      <w:pPr>
        <w:pStyle w:val="Heading1"/>
        <w:spacing w:after="160" w:before="320"/>
      </w:pPr>
      <w:r>
        <w:rPr>
          <w:rFonts w:ascii="Times New Roman" w:cs="Times New Roman" w:eastAsia="Times New Roman" w:hAnsi="Times New Roman"/>
          <w:b/>
          <w:bCs/>
          <w:sz w:val="28"/>
          <w:szCs w:val="28"/>
        </w:rPr>
        <w:t xml:space="preserve">References</w:t>
      </w:r>
    </w:p>
    <w:p>
      <w:pPr>
        <w:spacing w:after="120" w:line="300"/>
        <w:ind w:left="720" w:hanging="720"/>
      </w:pPr>
      <w:r>
        <w:rPr>
          <w:rFonts w:ascii="Times New Roman" w:cs="Times New Roman" w:eastAsia="Times New Roman" w:hAnsi="Times New Roman"/>
          <w:sz w:val="22"/>
          <w:szCs w:val="22"/>
        </w:rPr>
        <w:t xml:space="preserve">U.S. Congress. (2002). E-Government Act of 2002, Public Law 107-347.</w:t>
      </w:r>
    </w:p>
    <w:p>
      <w:pPr>
        <w:spacing w:after="120" w:line="300"/>
        <w:ind w:left="720" w:hanging="720"/>
      </w:pPr>
      <w:r>
        <w:rPr>
          <w:rFonts w:ascii="Times New Roman" w:cs="Times New Roman" w:eastAsia="Times New Roman" w:hAnsi="Times New Roman"/>
          <w:sz w:val="22"/>
          <w:szCs w:val="22"/>
        </w:rPr>
        <w:t xml:space="preserve">U.S. Congress. (2006). Federal Funding Accountability and Transparency Act, Public Law 109-282.</w:t>
      </w:r>
    </w:p>
    <w:p>
      <w:pPr>
        <w:spacing w:after="120" w:line="300"/>
        <w:ind w:left="720" w:hanging="720"/>
      </w:pPr>
      <w:r>
        <w:rPr>
          <w:rFonts w:ascii="Times New Roman" w:cs="Times New Roman" w:eastAsia="Times New Roman" w:hAnsi="Times New Roman"/>
          <w:sz w:val="22"/>
          <w:szCs w:val="22"/>
        </w:rPr>
        <w:t xml:space="preserve">U.S. Congress. (2014). Digital Accountability and Transparency Act (DATA Act), Public Law 113-101.</w:t>
      </w:r>
    </w:p>
    <w:p>
      <w:pPr>
        <w:spacing w:after="120" w:line="300"/>
        <w:ind w:left="720" w:hanging="720"/>
      </w:pPr>
      <w:r>
        <w:rPr>
          <w:rFonts w:ascii="Times New Roman" w:cs="Times New Roman" w:eastAsia="Times New Roman" w:hAnsi="Times New Roman"/>
          <w:sz w:val="22"/>
          <w:szCs w:val="22"/>
        </w:rPr>
        <w:t xml:space="preserve">U.S. Congress. (2018). 21st Century Integrated Digital Experience Act, Public Law 115-336.</w:t>
      </w:r>
    </w:p>
    <w:p>
      <w:pPr>
        <w:spacing w:after="120" w:line="300"/>
        <w:ind w:left="720" w:hanging="720"/>
      </w:pPr>
      <w:r>
        <w:rPr>
          <w:rFonts w:ascii="Times New Roman" w:cs="Times New Roman" w:eastAsia="Times New Roman" w:hAnsi="Times New Roman"/>
          <w:sz w:val="22"/>
          <w:szCs w:val="22"/>
        </w:rPr>
        <w:t xml:space="preserve">Executive Office of the President. (2009). Open Government Directive, OMB Memorandum M-10-06.</w:t>
      </w:r>
    </w:p>
    <w:p>
      <w:pPr>
        <w:spacing w:after="120" w:line="300"/>
        <w:ind w:left="720" w:hanging="720"/>
      </w:pPr>
      <w:r>
        <w:rPr>
          <w:rFonts w:ascii="Times New Roman" w:cs="Times New Roman" w:eastAsia="Times New Roman" w:hAnsi="Times New Roman"/>
          <w:sz w:val="22"/>
          <w:szCs w:val="22"/>
        </w:rPr>
        <w:t xml:space="preserve">Executive Office of the President. (2012). Digital Government: Building a 21st Century Platform to Better Serve the American People.</w:t>
      </w:r>
    </w:p>
    <w:p>
      <w:pPr>
        <w:spacing w:after="120" w:line="300"/>
        <w:ind w:left="720" w:hanging="720"/>
      </w:pPr>
      <w:r>
        <w:rPr>
          <w:rFonts w:ascii="Times New Roman" w:cs="Times New Roman" w:eastAsia="Times New Roman" w:hAnsi="Times New Roman"/>
          <w:sz w:val="22"/>
          <w:szCs w:val="22"/>
        </w:rPr>
        <w:t xml:space="preserve">U.S. General Services Administration. Digital.gov, Login.gov, Data.gov and FedRAMP program websites.</w:t>
      </w:r>
    </w:p>
    <w:p>
      <w:pPr>
        <w:spacing w:after="120" w:line="300"/>
        <w:ind w:left="720" w:hanging="720"/>
      </w:pPr>
      <w:r>
        <w:rPr>
          <w:rFonts w:ascii="Times New Roman" w:cs="Times New Roman" w:eastAsia="Times New Roman" w:hAnsi="Times New Roman"/>
          <w:sz w:val="22"/>
          <w:szCs w:val="22"/>
        </w:rPr>
        <w:t xml:space="preserve">U.S. Digital Service. About USDS. https://www.usds.gov</w:t>
      </w:r>
    </w:p>
    <w:p>
      <w:pPr>
        <w:spacing w:after="120" w:line="300"/>
        <w:ind w:left="720" w:hanging="720"/>
      </w:pPr>
      <w:r>
        <w:rPr>
          <w:rFonts w:ascii="Times New Roman" w:cs="Times New Roman" w:eastAsia="Times New Roman" w:hAnsi="Times New Roman"/>
          <w:sz w:val="22"/>
          <w:szCs w:val="22"/>
        </w:rPr>
        <w:t xml:space="preserve">U.S. Government Accountability Office. (2014). Healthcare.gov: Ineffective Planning and Oversight Practices Underscore the Need for Improved Contract Management (GAO-14-694).</w:t>
      </w:r>
    </w:p>
    <w:p>
      <w:pPr>
        <w:spacing w:after="120" w:line="300"/>
        <w:ind w:left="720" w:hanging="720"/>
      </w:pPr>
      <w:r>
        <w:rPr>
          <w:rFonts w:ascii="Times New Roman" w:cs="Times New Roman" w:eastAsia="Times New Roman" w:hAnsi="Times New Roman"/>
          <w:sz w:val="22"/>
          <w:szCs w:val="22"/>
        </w:rPr>
        <w:t xml:space="preserve">West, D. M. (2005). Digital Government: Technology and Public Sector Performance. Princeton University Press.</w:t>
      </w:r>
    </w:p>
    <w:sectPr>
      <w:footerReference w:type="default" r:id="rId7"/>
      <w:footerReference w:type="first" r:id="rId8"/>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2026-09-29T04:05:46.425Z</dcterms:created>
  <dcterms:modified xsi:type="dcterms:W3CDTF">2026-09-29T04:05:46.433Z</dcterms:modified>
</cp:coreProperties>
</file>

<file path=docProps/custom.xml><?xml version="1.0" encoding="utf-8"?>
<Properties xmlns="http://schemas.openxmlformats.org/officeDocument/2006/custom-properties" xmlns:vt="http://schemas.openxmlformats.org/officeDocument/2006/docPropsVTypes"/>
</file>