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ApexFlow AI Commercial Diligence Overview</w:t>
      </w:r>
    </w:p>
    <w:p>
      <w:r>
        <w:t>Executive summary of key findings and investment thesis.</w:t>
      </w:r>
    </w:p>
    <w:tbl>
      <w:tr>
        <w:tc>
          <w:p>
            <w:r>
              <w:t>Metric</w:t>
            </w:r>
          </w:p>
        </w:tc>
        <w:tc>
          <w:p>
            <w:r>
              <w:t>FY2024</w:t>
            </w:r>
          </w:p>
        </w:tc>
        <w:tc>
          <w:p>
            <w:r>
              <w:t>FY2025</w:t>
            </w:r>
          </w:p>
        </w:tc>
      </w:tr>
      <w:tr>
        <w:tc>
          <w:p>
            <w:r>
              <w:t>ARR</w:t>
            </w:r>
          </w:p>
        </w:tc>
        <w:tc>
          <w:p>
            <w:r>
              <w:t>$1.32M</w:t>
            </w:r>
          </w:p>
        </w:tc>
        <w:tc>
          <w:p>
            <w:r>
              <w:t>$3.20M</w:t>
            </w:r>
          </w:p>
        </w:tc>
      </w:tr>
      <w:tr>
        <w:tc>
          <w:p>
            <w:r>
              <w:t>Gross Margin</w:t>
            </w:r>
          </w:p>
        </w:tc>
        <w:tc>
          <w:p>
            <w:r>
              <w:t>74.2%</w:t>
            </w:r>
          </w:p>
        </w:tc>
        <w:tc>
          <w:p>
            <w:r>
              <w:t>78.4%</w:t>
            </w:r>
          </w:p>
        </w:tc>
      </w:tr>
    </w:tbl>
  </w:body>
</w:document>
</file>