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Arial" w:cs="Arial" w:eastAsia="Arial" w:hAnsi="Arial"/>
          <w:b/>
          <w:bCs/>
          <w:color w:val="2F6F8F"/>
          <w:sz w:val="22"/>
          <w:szCs w:val="22"/>
        </w:rPr>
        <w:t xml:space="preserve">WHITE PAPER</w:t>
      </w:r>
    </w:p>
    <w:p>
      <w:pPr>
        <w:spacing w:after="240"/>
      </w:pPr>
      <w:r>
        <w:rPr>
          <w:rFonts w:ascii="Arial" w:cs="Arial" w:eastAsia="Arial" w:hAnsi="Arial"/>
          <w:b/>
          <w:bCs/>
          <w:sz w:val="48"/>
          <w:szCs w:val="48"/>
        </w:rPr>
        <w:t xml:space="preserve">Near-Infrared Screening of Paracetamol Content in Powder Blends</w:t>
      </w:r>
    </w:p>
    <w:p>
      <w:pPr>
        <w:pBdr>
          <w:bottom w:val="single" w:color="2F6F8F" w:sz="8" w:space="6"/>
        </w:pBdr>
        <w:spacing w:after="300"/>
      </w:pPr>
      <w:r>
        <w:rPr>
          <w:rFonts w:ascii="Arial" w:cs="Arial" w:eastAsia="Arial" w:hAnsi="Arial"/>
          <w:color w:val="444444"/>
          <w:sz w:val="26"/>
          <w:szCs w:val="26"/>
        </w:rPr>
        <w:t xml:space="preserve">Consolidation of three years of METASPEQ paracetamol data, honest model validation, and a screening model with an applicability-domain check</w:t>
      </w:r>
    </w:p>
    <w:p>
      <w:pPr>
        <w:spacing w:after="120" w:line="276"/>
      </w:pPr>
      <w:r>
        <w:rPr>
          <w:rFonts w:ascii="Arial" w:cs="Arial" w:eastAsia="Arial" w:hAnsi="Arial"/>
          <w:sz w:val="21"/>
          <w:szCs w:val="21"/>
        </w:rPr>
        <w:t xml:space="preserve">Data: Paracetamol project folder (2024–2026): 3,343 scans, 181 physical samples, 9 collections, 892–1710 nm</w:t>
      </w:r>
    </w:p>
    <w:p>
      <w:pPr>
        <w:spacing w:after="120" w:line="276"/>
      </w:pPr>
      <w:r>
        <w:rPr>
          <w:rFonts w:ascii="Arial" w:cs="Arial" w:eastAsia="Arial" w:hAnsi="Arial"/>
          <w:sz w:val="21"/>
          <w:szCs w:val="21"/>
        </w:rPr>
        <w:t xml:space="preserve">Prepared for: METASPEQ / Ayudyog Private Limited, with collaboration data from Mendine Pharmaceuticals Pvt. Ltd.</w:t>
      </w:r>
    </w:p>
    <w:p>
      <w:pPr>
        <w:spacing w:after="120" w:line="276"/>
      </w:pPr>
      <w:r>
        <w:rPr>
          <w:rFonts w:ascii="Arial" w:cs="Arial" w:eastAsia="Arial" w:hAnsi="Arial"/>
          <w:sz w:val="21"/>
          <w:szCs w:val="21"/>
        </w:rPr>
        <w:t xml:space="preserve">Date: 17 September 2026</w:t>
      </w:r>
    </w:p>
    <w:p>
      <w:r>
        <w:br w:type="page"/>
      </w:r>
    </w:p>
    <w:p>
      <w:pPr>
        <w:pStyle w:val="Heading1"/>
      </w:pPr>
      <w:r>
        <w:t xml:space="preserve">Executive summary</w:t>
      </w:r>
    </w:p>
    <w:p>
      <w:pPr>
        <w:spacing w:after="120" w:line="276"/>
      </w:pPr>
      <w:r>
        <w:rPr>
          <w:rFonts w:ascii="Arial" w:cs="Arial" w:eastAsia="Arial" w:hAnsi="Arial"/>
          <w:sz w:val="21"/>
          <w:szCs w:val="21"/>
        </w:rPr>
        <w:t xml:space="preserve">This paper brings every usable paracetamol near-infrared (NIR) scan collected by METASPEQ between January 2024 and March 2026 into one master file, and asks a simple question: how well can NIR tell how much paracetamol is in a powder blend? Two sample types were studied. The first is tablet formulations with five excipients (2024–2025). The second is paracetamol mixed with a fixed 2.00 g of talc, expressed as % label claim from 80 to 120 % (Mendine 2025 and the 2026 set).</w:t>
      </w:r>
    </w:p>
    <w:p>
      <w:pPr>
        <w:pStyle w:val="ListParagraph"/>
        <w:numPr>
          <w:ilvl w:val="0"/>
          <w:numId w:val="2"/>
        </w:numPr>
        <w:spacing w:after="80" w:line="276"/>
      </w:pPr>
      <w:r>
        <w:rPr>
          <w:rFonts w:ascii="Arial" w:cs="Arial" w:eastAsia="Arial" w:hAnsi="Arial"/>
          <w:b/>
          <w:bCs/>
          <w:sz w:val="21"/>
          <w:szCs w:val="21"/>
        </w:rPr>
        <w:t xml:space="preserve">The earlier accuracy figures are too optimistic. </w:t>
      </w:r>
      <w:r>
        <w:rPr>
          <w:rFonts w:ascii="Arial" w:cs="Arial" w:eastAsia="Arial" w:hAnsi="Arial"/>
          <w:sz w:val="21"/>
          <w:szCs w:val="21"/>
        </w:rPr>
        <w:t xml:space="preserve">The 2026 model report ranked KNN first with a test R² of 0.998. That test split individual scans at random, so scans of the same powder sat on both sides of the split. When all scans of a sample are kept together, the same models give R² 0.51–0.79 and an error of 5–8 % label claim instead of 0.5–4 %.</w:t>
      </w:r>
    </w:p>
    <w:p>
      <w:pPr>
        <w:pStyle w:val="ListParagraph"/>
        <w:numPr>
          <w:ilvl w:val="0"/>
          <w:numId w:val="2"/>
        </w:numPr>
        <w:spacing w:after="80" w:line="276"/>
      </w:pPr>
      <w:r>
        <w:rPr>
          <w:rFonts w:ascii="Arial" w:cs="Arial" w:eastAsia="Arial" w:hAnsi="Arial"/>
          <w:b/>
          <w:bCs/>
          <w:sz w:val="21"/>
          <w:szCs w:val="21"/>
        </w:rPr>
        <w:t xml:space="preserve">The final screening model reaches R² 0.83 and RMSE 4.8 % label claim </w:t>
      </w:r>
      <w:r>
        <w:rPr>
          <w:rFonts w:ascii="Arial" w:cs="Arial" w:eastAsia="Arial" w:hAnsi="Arial"/>
          <w:sz w:val="21"/>
          <w:szCs w:val="21"/>
        </w:rPr>
        <w:t xml:space="preserve">(RPD 2.5) under 5-fold sample-grouped cross-validation on 82 blend samples. On 13 re-scanned 2026 powders it gave RMSE 3.5 % label claim.</w:t>
      </w:r>
    </w:p>
    <w:p>
      <w:pPr>
        <w:pStyle w:val="ListParagraph"/>
        <w:numPr>
          <w:ilvl w:val="0"/>
          <w:numId w:val="2"/>
        </w:numPr>
        <w:spacing w:after="80" w:line="276"/>
      </w:pPr>
      <w:r>
        <w:rPr>
          <w:rFonts w:ascii="Arial" w:cs="Arial" w:eastAsia="Arial" w:hAnsi="Arial"/>
          <w:b/>
          <w:bCs/>
          <w:sz w:val="21"/>
          <w:szCs w:val="21"/>
        </w:rPr>
        <w:t xml:space="preserve">That is good enough for screening, not for assay. </w:t>
      </w:r>
      <w:r>
        <w:rPr>
          <w:rFonts w:ascii="Arial" w:cs="Arial" w:eastAsia="Arial" w:hAnsi="Arial"/>
          <w:sz w:val="21"/>
          <w:szCs w:val="21"/>
        </w:rPr>
        <w:t xml:space="preserve">A pharmacopoeial assay window of 95–105 % needs an error well under 2 %. The model is therefore released as a LOW / WITHIN RANGE / HIGH screening tool with a borderline zone that sends samples to HPLC. It never called a HIGH sample WITHIN RANGE, and called one LOW sample WITHIN RANGE out of 82.</w:t>
      </w:r>
    </w:p>
    <w:p>
      <w:pPr>
        <w:pStyle w:val="ListParagraph"/>
        <w:numPr>
          <w:ilvl w:val="0"/>
          <w:numId w:val="2"/>
        </w:numPr>
        <w:spacing w:after="80" w:line="276"/>
      </w:pPr>
      <w:r>
        <w:rPr>
          <w:rFonts w:ascii="Arial" w:cs="Arial" w:eastAsia="Arial" w:hAnsi="Arial"/>
          <w:b/>
          <w:bCs/>
          <w:sz w:val="21"/>
          <w:szCs w:val="21"/>
        </w:rPr>
        <w:t xml:space="preserve">Models do not carry over between years. </w:t>
      </w:r>
      <w:r>
        <w:rPr>
          <w:rFonts w:ascii="Arial" w:cs="Arial" w:eastAsia="Arial" w:hAnsi="Arial"/>
          <w:sz w:val="21"/>
          <w:szCs w:val="21"/>
        </w:rPr>
        <w:t xml:space="preserve">A model trained on 2026 blends predicts the 2025 Mendine blends with an error of 12–13 % label claim, and the January 2024 formulation model misses April 2024 by about 50 mg. Every new collection period needs recalibration or a calibration-transfer step.</w:t>
      </w:r>
    </w:p>
    <w:p>
      <w:pPr>
        <w:pStyle w:val="ListParagraph"/>
        <w:numPr>
          <w:ilvl w:val="0"/>
          <w:numId w:val="2"/>
        </w:numPr>
        <w:spacing w:after="80" w:line="276"/>
      </w:pPr>
      <w:r>
        <w:rPr>
          <w:rFonts w:ascii="Arial" w:cs="Arial" w:eastAsia="Arial" w:hAnsi="Arial"/>
          <w:b/>
          <w:bCs/>
          <w:sz w:val="21"/>
          <w:szCs w:val="21"/>
        </w:rPr>
        <w:t xml:space="preserve">The Mendine Experiment-1 recovery calculation is circular. </w:t>
      </w:r>
      <w:r>
        <w:rPr>
          <w:rFonts w:ascii="Arial" w:cs="Arial" w:eastAsia="Arial" w:hAnsi="Arial"/>
          <w:sz w:val="21"/>
          <w:szCs w:val="21"/>
        </w:rPr>
        <w:t xml:space="preserve">The report defined the "true value" as the mean NIR prediction. Recalculated against the weighed-in compositions, recovery is 96.4–103.5 % and the error is 0.88 % w/w (about 3.5 % label claim), which is consistent with this paper.</w:t>
      </w:r>
    </w:p>
    <w:p>
      <w:pPr>
        <w:pStyle w:val="ListParagraph"/>
        <w:numPr>
          <w:ilvl w:val="0"/>
          <w:numId w:val="2"/>
        </w:numPr>
        <w:spacing w:after="80" w:line="276"/>
      </w:pPr>
      <w:r>
        <w:rPr>
          <w:rFonts w:ascii="Arial" w:cs="Arial" w:eastAsia="Arial" w:hAnsi="Arial"/>
          <w:b/>
          <w:bCs/>
          <w:sz w:val="21"/>
          <w:szCs w:val="21"/>
        </w:rPr>
        <w:t xml:space="preserve">An out-of-domain check works. </w:t>
      </w:r>
      <w:r>
        <w:rPr>
          <w:rFonts w:ascii="Arial" w:cs="Arial" w:eastAsia="Arial" w:hAnsi="Arial"/>
          <w:sz w:val="21"/>
          <w:szCs w:val="21"/>
        </w:rPr>
        <w:t xml:space="preserve">Formulation tablets, pure paracetamol, the IPRS standard and pure talc are all flagged as outside the model, so the tool refuses to give a screening verdict for materials it was not built for.</w:t>
      </w:r>
    </w:p>
    <w:p>
      <w:pPr>
        <w:pStyle w:val="Heading1"/>
      </w:pPr>
      <w:r>
        <w:t xml:space="preserve">1. Scope and material</w:t>
      </w:r>
    </w:p>
    <w:p>
      <w:pPr>
        <w:spacing w:after="120" w:line="276"/>
      </w:pPr>
      <w:r>
        <w:rPr>
          <w:rFonts w:ascii="Arial" w:cs="Arial" w:eastAsia="Arial" w:hAnsi="Arial"/>
          <w:sz w:val="21"/>
          <w:szCs w:val="21"/>
        </w:rPr>
        <w:t xml:space="preserve">Two excluded items should be noted. The September 2024 formulation campaign mentioned in the February 2025 status report is not in the project folder. The 25–28 March 2025 low-dose set (350–420 mg) was left out because its formulation is not documented. Its collection code (C04) is therefore skipped throughout.</w:t>
      </w:r>
    </w:p>
    <w:p>
      <w:pPr>
        <w:spacing w:after="120" w:line="276"/>
      </w:pPr>
      <w:r>
        <w:rPr>
          <w:rFonts w:ascii="Arial" w:cs="Arial" w:eastAsia="Arial" w:hAnsi="Arial"/>
          <w:sz w:val="21"/>
          <w:szCs w:val="21"/>
        </w:rPr>
        <w:t xml:space="preserve">The tablet formulations used 12 × dose (mg) / 1000 g of paracetamol with a fixed 1.110 g excipient mix (MCC 0.471 g, PVP 0.282 g, calcium stearate 0.188 g, talc 0.113 g, magnesium stearate 0.056 g). In the binary blends, talc is fixed at 2.00 g and paracetamol varies from 1.60 to 2.40 g. The 80–120 % label-claim range is only 44.4–54.5 % w/w, so each 1 % of label claim corresponds to about 0.25 % w/w. This is a narrow concentration window for diffuse-reflection NIR.</w:t>
      </w:r>
    </w:p>
    <w:p>
      <w:pPr>
        <w:spacing w:after="120" w:line="276"/>
      </w:pPr>
      <w:r>
        <w:rPr>
          <w:rFonts w:ascii="Arial" w:cs="Arial" w:eastAsia="Arial" w:hAnsi="Arial"/>
          <w:sz w:val="21"/>
          <w:szCs w:val="21"/>
        </w:rPr>
        <w:t xml:space="preserve">All reference values are gravimetric (weighed-in). No HPLC values are attached to any scan, so the errors reported here include weighing and mixing error as well as spectral error.</w:t>
      </w:r>
    </w:p>
    <w:p>
      <w:pPr>
        <w:pStyle w:val="Heading2"/>
      </w:pPr>
      <w:r>
        <w:t xml:space="preserve">1.1 Collections in the master file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4906"/>
        <w:gridCol w:w="1100"/>
        <w:gridCol w:w="1000"/>
        <w:gridCol w:w="1800"/>
      </w:tblGrid>
      <w:tr>
        <w:trPr>
          <w:tblHeader/>
        </w:trPr>
        <w:tc>
          <w:tcPr>
            <w:tcW w:type="dxa" w:w="700"/>
            <w:shd w:fill="2F6F8F" w:color="auto" w:val="clear"/>
            <w:tcMar>
              <w:top w:type="dxa" w:w="50"/>
              <w:left w:type="dxa" w:w="80"/>
              <w:bottom w:type="dxa" w:w="50"/>
              <w:right w:type="dxa" w:w="80"/>
            </w:tcMar>
          </w:tcPr>
          <w:p>
            <w:r>
              <w:rPr>
                <w:rFonts w:ascii="Arial" w:cs="Arial" w:eastAsia="Arial" w:hAnsi="Arial"/>
                <w:b/>
                <w:bCs/>
                <w:color w:val="FFFFFF"/>
                <w:sz w:val="17"/>
                <w:szCs w:val="17"/>
              </w:rPr>
              <w:t xml:space="preserve">Code</w:t>
            </w:r>
          </w:p>
        </w:tc>
        <w:tc>
          <w:tcPr>
            <w:tcW w:type="dxa" w:w="4906"/>
            <w:shd w:fill="2F6F8F" w:color="auto" w:val="clear"/>
            <w:tcMar>
              <w:top w:type="dxa" w:w="50"/>
              <w:left w:type="dxa" w:w="80"/>
              <w:bottom w:type="dxa" w:w="50"/>
              <w:right w:type="dxa" w:w="80"/>
            </w:tcMar>
          </w:tcPr>
          <w:p>
            <w:r>
              <w:rPr>
                <w:rFonts w:ascii="Arial" w:cs="Arial" w:eastAsia="Arial" w:hAnsi="Arial"/>
                <w:b/>
                <w:bCs/>
                <w:color w:val="FFFFFF"/>
                <w:sz w:val="17"/>
                <w:szCs w:val="17"/>
              </w:rPr>
              <w:t xml:space="preserve">What</w:t>
            </w:r>
          </w:p>
        </w:tc>
        <w:tc>
          <w:tcPr>
            <w:tcW w:type="dxa" w:w="1100"/>
            <w:shd w:fill="2F6F8F" w:color="auto" w:val="clear"/>
            <w:tcMar>
              <w:top w:type="dxa" w:w="50"/>
              <w:left w:type="dxa" w:w="80"/>
              <w:bottom w:type="dxa" w:w="50"/>
              <w:right w:type="dxa" w:w="80"/>
            </w:tcMar>
          </w:tcPr>
          <w:p>
            <w:r>
              <w:rPr>
                <w:rFonts w:ascii="Arial" w:cs="Arial" w:eastAsia="Arial" w:hAnsi="Arial"/>
                <w:b/>
                <w:bCs/>
                <w:color w:val="FFFFFF"/>
                <w:sz w:val="17"/>
                <w:szCs w:val="17"/>
              </w:rPr>
              <w:t xml:space="preserve">Samples</w:t>
            </w:r>
          </w:p>
        </w:tc>
        <w:tc>
          <w:tcPr>
            <w:tcW w:type="dxa" w:w="1000"/>
            <w:shd w:fill="2F6F8F" w:color="auto" w:val="clear"/>
            <w:tcMar>
              <w:top w:type="dxa" w:w="50"/>
              <w:left w:type="dxa" w:w="80"/>
              <w:bottom w:type="dxa" w:w="50"/>
              <w:right w:type="dxa" w:w="80"/>
            </w:tcMar>
          </w:tcPr>
          <w:p>
            <w:r>
              <w:rPr>
                <w:rFonts w:ascii="Arial" w:cs="Arial" w:eastAsia="Arial" w:hAnsi="Arial"/>
                <w:b/>
                <w:bCs/>
                <w:color w:val="FFFFFF"/>
                <w:sz w:val="17"/>
                <w:szCs w:val="17"/>
              </w:rPr>
              <w:t xml:space="preserve">Scans</w:t>
            </w:r>
          </w:p>
        </w:tc>
        <w:tc>
          <w:tcPr>
            <w:tcW w:type="dxa" w:w="1800"/>
            <w:shd w:fill="2F6F8F" w:color="auto" w:val="clear"/>
            <w:tcMar>
              <w:top w:type="dxa" w:w="50"/>
              <w:left w:type="dxa" w:w="80"/>
              <w:bottom w:type="dxa" w:w="50"/>
              <w:right w:type="dxa" w:w="80"/>
            </w:tcMar>
          </w:tcPr>
          <w:p>
            <w:r>
              <w:rPr>
                <w:rFonts w:ascii="Arial" w:cs="Arial" w:eastAsia="Arial" w:hAnsi="Arial"/>
                <w:b/>
                <w:bCs/>
                <w:color w:val="FFFFFF"/>
                <w:sz w:val="17"/>
                <w:szCs w:val="17"/>
              </w:rPr>
              <w:t xml:space="preserve">Range</w:t>
            </w:r>
          </w:p>
        </w:tc>
      </w:tr>
      <w:tr>
        <w:tc>
          <w:tcPr>
            <w:tcW w:type="dxa" w:w="700"/>
            <w:tcMar>
              <w:top w:type="dxa" w:w="50"/>
              <w:left w:type="dxa" w:w="80"/>
              <w:bottom w:type="dxa" w:w="50"/>
              <w:right w:type="dxa" w:w="80"/>
            </w:tcMar>
          </w:tcPr>
          <w:p>
            <w:r>
              <w:rPr>
                <w:rFonts w:ascii="Arial" w:cs="Arial" w:eastAsia="Arial" w:hAnsi="Arial"/>
                <w:b w:val="false"/>
                <w:bCs w:val="false"/>
                <w:color w:val="000000"/>
                <w:sz w:val="17"/>
                <w:szCs w:val="17"/>
              </w:rPr>
              <w:t xml:space="preserve">C01</w:t>
            </w:r>
          </w:p>
        </w:tc>
        <w:tc>
          <w:tcPr>
            <w:tcW w:type="dxa" w:w="4906"/>
            <w:tcMar>
              <w:top w:type="dxa" w:w="50"/>
              <w:left w:type="dxa" w:w="80"/>
              <w:bottom w:type="dxa" w:w="50"/>
              <w:right w:type="dxa" w:w="80"/>
            </w:tcMar>
          </w:tcPr>
          <w:p>
            <w:r>
              <w:rPr>
                <w:rFonts w:ascii="Arial" w:cs="Arial" w:eastAsia="Arial" w:hAnsi="Arial"/>
                <w:b w:val="false"/>
                <w:bCs w:val="false"/>
                <w:color w:val="000000"/>
                <w:sz w:val="17"/>
                <w:szCs w:val="17"/>
              </w:rPr>
              <w:t xml:space="preserve">Formulation, Jan 2024 (raw instrument files)</w:t>
            </w:r>
          </w:p>
        </w:tc>
        <w:tc>
          <w:tcPr>
            <w:tcW w:type="dxa" w:w="1100"/>
            <w:tcMar>
              <w:top w:type="dxa" w:w="50"/>
              <w:left w:type="dxa" w:w="80"/>
              <w:bottom w:type="dxa" w:w="50"/>
              <w:right w:type="dxa" w:w="80"/>
            </w:tcMar>
          </w:tcPr>
          <w:p>
            <w:r>
              <w:rPr>
                <w:rFonts w:ascii="Arial" w:cs="Arial" w:eastAsia="Arial" w:hAnsi="Arial"/>
                <w:b w:val="false"/>
                <w:bCs w:val="false"/>
                <w:color w:val="000000"/>
                <w:sz w:val="17"/>
                <w:szCs w:val="17"/>
              </w:rPr>
              <w:t xml:space="preserve">41</w:t>
            </w:r>
          </w:p>
        </w:tc>
        <w:tc>
          <w:tcPr>
            <w:tcW w:type="dxa" w:w="1000"/>
            <w:tcMar>
              <w:top w:type="dxa" w:w="50"/>
              <w:left w:type="dxa" w:w="80"/>
              <w:bottom w:type="dxa" w:w="50"/>
              <w:right w:type="dxa" w:w="80"/>
            </w:tcMar>
          </w:tcPr>
          <w:p>
            <w:r>
              <w:rPr>
                <w:rFonts w:ascii="Arial" w:cs="Arial" w:eastAsia="Arial" w:hAnsi="Arial"/>
                <w:b w:val="false"/>
                <w:bCs w:val="false"/>
                <w:color w:val="000000"/>
                <w:sz w:val="17"/>
                <w:szCs w:val="17"/>
              </w:rPr>
              <w:t xml:space="preserve">656</w:t>
            </w:r>
          </w:p>
        </w:tc>
        <w:tc>
          <w:tcPr>
            <w:tcW w:type="dxa" w:w="1800"/>
            <w:tcMar>
              <w:top w:type="dxa" w:w="50"/>
              <w:left w:type="dxa" w:w="80"/>
              <w:bottom w:type="dxa" w:w="50"/>
              <w:right w:type="dxa" w:w="80"/>
            </w:tcMar>
          </w:tcPr>
          <w:p>
            <w:r>
              <w:rPr>
                <w:rFonts w:ascii="Arial" w:cs="Arial" w:eastAsia="Arial" w:hAnsi="Arial"/>
                <w:b w:val="false"/>
                <w:bCs w:val="false"/>
                <w:color w:val="000000"/>
                <w:sz w:val="17"/>
                <w:szCs w:val="17"/>
              </w:rPr>
              <w:t xml:space="preserve">400–1200 mg</w:t>
            </w:r>
          </w:p>
        </w:tc>
      </w:tr>
      <w:tr>
        <w:tc>
          <w:tcPr>
            <w:tcW w:type="dxa" w:w="700"/>
            <w:tcMar>
              <w:top w:type="dxa" w:w="50"/>
              <w:left w:type="dxa" w:w="80"/>
              <w:bottom w:type="dxa" w:w="50"/>
              <w:right w:type="dxa" w:w="80"/>
            </w:tcMar>
          </w:tcPr>
          <w:p>
            <w:r>
              <w:rPr>
                <w:rFonts w:ascii="Arial" w:cs="Arial" w:eastAsia="Arial" w:hAnsi="Arial"/>
                <w:b w:val="false"/>
                <w:bCs w:val="false"/>
                <w:color w:val="000000"/>
                <w:sz w:val="17"/>
                <w:szCs w:val="17"/>
              </w:rPr>
              <w:t xml:space="preserve">C02</w:t>
            </w:r>
          </w:p>
        </w:tc>
        <w:tc>
          <w:tcPr>
            <w:tcW w:type="dxa" w:w="4906"/>
            <w:tcMar>
              <w:top w:type="dxa" w:w="50"/>
              <w:left w:type="dxa" w:w="80"/>
              <w:bottom w:type="dxa" w:w="50"/>
              <w:right w:type="dxa" w:w="80"/>
            </w:tcMar>
          </w:tcPr>
          <w:p>
            <w:r>
              <w:rPr>
                <w:rFonts w:ascii="Arial" w:cs="Arial" w:eastAsia="Arial" w:hAnsi="Arial"/>
                <w:b w:val="false"/>
                <w:bCs w:val="false"/>
                <w:color w:val="000000"/>
                <w:sz w:val="17"/>
                <w:szCs w:val="17"/>
              </w:rPr>
              <w:t xml:space="preserve">Formulation, Apr 2024, 5-min lamp rest (raw files)</w:t>
            </w:r>
          </w:p>
        </w:tc>
        <w:tc>
          <w:tcPr>
            <w:tcW w:type="dxa" w:w="1100"/>
            <w:tcMar>
              <w:top w:type="dxa" w:w="50"/>
              <w:left w:type="dxa" w:w="80"/>
              <w:bottom w:type="dxa" w:w="50"/>
              <w:right w:type="dxa" w:w="80"/>
            </w:tcMar>
          </w:tcPr>
          <w:p>
            <w:r>
              <w:rPr>
                <w:rFonts w:ascii="Arial" w:cs="Arial" w:eastAsia="Arial" w:hAnsi="Arial"/>
                <w:b w:val="false"/>
                <w:bCs w:val="false"/>
                <w:color w:val="000000"/>
                <w:sz w:val="17"/>
                <w:szCs w:val="17"/>
              </w:rPr>
              <w:t xml:space="preserve">21</w:t>
            </w:r>
          </w:p>
        </w:tc>
        <w:tc>
          <w:tcPr>
            <w:tcW w:type="dxa" w:w="1000"/>
            <w:tcMar>
              <w:top w:type="dxa" w:w="50"/>
              <w:left w:type="dxa" w:w="80"/>
              <w:bottom w:type="dxa" w:w="50"/>
              <w:right w:type="dxa" w:w="80"/>
            </w:tcMar>
          </w:tcPr>
          <w:p>
            <w:r>
              <w:rPr>
                <w:rFonts w:ascii="Arial" w:cs="Arial" w:eastAsia="Arial" w:hAnsi="Arial"/>
                <w:b w:val="false"/>
                <w:bCs w:val="false"/>
                <w:color w:val="000000"/>
                <w:sz w:val="17"/>
                <w:szCs w:val="17"/>
              </w:rPr>
              <w:t xml:space="preserve">336</w:t>
            </w:r>
          </w:p>
        </w:tc>
        <w:tc>
          <w:tcPr>
            <w:tcW w:type="dxa" w:w="1800"/>
            <w:tcMar>
              <w:top w:type="dxa" w:w="50"/>
              <w:left w:type="dxa" w:w="80"/>
              <w:bottom w:type="dxa" w:w="50"/>
              <w:right w:type="dxa" w:w="80"/>
            </w:tcMar>
          </w:tcPr>
          <w:p>
            <w:r>
              <w:rPr>
                <w:rFonts w:ascii="Arial" w:cs="Arial" w:eastAsia="Arial" w:hAnsi="Arial"/>
                <w:b w:val="false"/>
                <w:bCs w:val="false"/>
                <w:color w:val="000000"/>
                <w:sz w:val="17"/>
                <w:szCs w:val="17"/>
              </w:rPr>
              <w:t xml:space="preserve">550–750 mg</w:t>
            </w:r>
          </w:p>
        </w:tc>
      </w:tr>
      <w:tr>
        <w:tc>
          <w:tcPr>
            <w:tcW w:type="dxa" w:w="700"/>
            <w:tcMar>
              <w:top w:type="dxa" w:w="50"/>
              <w:left w:type="dxa" w:w="80"/>
              <w:bottom w:type="dxa" w:w="50"/>
              <w:right w:type="dxa" w:w="80"/>
            </w:tcMar>
          </w:tcPr>
          <w:p>
            <w:r>
              <w:rPr>
                <w:rFonts w:ascii="Arial" w:cs="Arial" w:eastAsia="Arial" w:hAnsi="Arial"/>
                <w:b w:val="false"/>
                <w:bCs w:val="false"/>
                <w:color w:val="000000"/>
                <w:sz w:val="17"/>
                <w:szCs w:val="17"/>
              </w:rPr>
              <w:t xml:space="preserve">C03</w:t>
            </w:r>
          </w:p>
        </w:tc>
        <w:tc>
          <w:tcPr>
            <w:tcW w:type="dxa" w:w="4906"/>
            <w:tcMar>
              <w:top w:type="dxa" w:w="50"/>
              <w:left w:type="dxa" w:w="80"/>
              <w:bottom w:type="dxa" w:w="50"/>
              <w:right w:type="dxa" w:w="80"/>
            </w:tcMar>
          </w:tcPr>
          <w:p>
            <w:r>
              <w:rPr>
                <w:rFonts w:ascii="Arial" w:cs="Arial" w:eastAsia="Arial" w:hAnsi="Arial"/>
                <w:b w:val="false"/>
                <w:bCs w:val="false"/>
                <w:color w:val="000000"/>
                <w:sz w:val="17"/>
                <w:szCs w:val="17"/>
              </w:rPr>
              <w:t xml:space="preserve">Spectrafind field-test logs, 5 Mar 2025</w:t>
            </w:r>
          </w:p>
        </w:tc>
        <w:tc>
          <w:tcPr>
            <w:tcW w:type="dxa" w:w="1100"/>
            <w:tcMar>
              <w:top w:type="dxa" w:w="50"/>
              <w:left w:type="dxa" w:w="80"/>
              <w:bottom w:type="dxa" w:w="50"/>
              <w:right w:type="dxa" w:w="80"/>
            </w:tcMar>
          </w:tcPr>
          <w:p>
            <w:r>
              <w:rPr>
                <w:rFonts w:ascii="Arial" w:cs="Arial" w:eastAsia="Arial" w:hAnsi="Arial"/>
                <w:b w:val="false"/>
                <w:bCs w:val="false"/>
                <w:color w:val="000000"/>
                <w:sz w:val="17"/>
                <w:szCs w:val="17"/>
              </w:rPr>
              <w:t xml:space="preserve">3</w:t>
            </w:r>
          </w:p>
        </w:tc>
        <w:tc>
          <w:tcPr>
            <w:tcW w:type="dxa" w:w="1000"/>
            <w:tcMar>
              <w:top w:type="dxa" w:w="50"/>
              <w:left w:type="dxa" w:w="80"/>
              <w:bottom w:type="dxa" w:w="50"/>
              <w:right w:type="dxa" w:w="80"/>
            </w:tcMar>
          </w:tcPr>
          <w:p>
            <w:r>
              <w:rPr>
                <w:rFonts w:ascii="Arial" w:cs="Arial" w:eastAsia="Arial" w:hAnsi="Arial"/>
                <w:b w:val="false"/>
                <w:bCs w:val="false"/>
                <w:color w:val="000000"/>
                <w:sz w:val="17"/>
                <w:szCs w:val="17"/>
              </w:rPr>
              <w:t xml:space="preserve">520</w:t>
            </w:r>
          </w:p>
        </w:tc>
        <w:tc>
          <w:tcPr>
            <w:tcW w:type="dxa" w:w="1800"/>
            <w:tcMar>
              <w:top w:type="dxa" w:w="50"/>
              <w:left w:type="dxa" w:w="80"/>
              <w:bottom w:type="dxa" w:w="50"/>
              <w:right w:type="dxa" w:w="80"/>
            </w:tcMar>
          </w:tcPr>
          <w:p>
            <w:r>
              <w:rPr>
                <w:rFonts w:ascii="Arial" w:cs="Arial" w:eastAsia="Arial" w:hAnsi="Arial"/>
                <w:b w:val="false"/>
                <w:bCs w:val="false"/>
                <w:color w:val="000000"/>
                <w:sz w:val="17"/>
                <w:szCs w:val="17"/>
              </w:rPr>
              <w:t xml:space="preserve">550–650 mg</w:t>
            </w:r>
          </w:p>
        </w:tc>
      </w:tr>
      <w:tr>
        <w:tc>
          <w:tcPr>
            <w:tcW w:type="dxa" w:w="700"/>
            <w:tcMar>
              <w:top w:type="dxa" w:w="50"/>
              <w:left w:type="dxa" w:w="80"/>
              <w:bottom w:type="dxa" w:w="50"/>
              <w:right w:type="dxa" w:w="80"/>
            </w:tcMar>
          </w:tcPr>
          <w:p>
            <w:r>
              <w:rPr>
                <w:rFonts w:ascii="Arial" w:cs="Arial" w:eastAsia="Arial" w:hAnsi="Arial"/>
                <w:b w:val="false"/>
                <w:bCs w:val="false"/>
                <w:color w:val="000000"/>
                <w:sz w:val="17"/>
                <w:szCs w:val="17"/>
              </w:rPr>
              <w:t xml:space="preserve">C05</w:t>
            </w:r>
          </w:p>
        </w:tc>
        <w:tc>
          <w:tcPr>
            <w:tcW w:type="dxa" w:w="4906"/>
            <w:tcMar>
              <w:top w:type="dxa" w:w="50"/>
              <w:left w:type="dxa" w:w="80"/>
              <w:bottom w:type="dxa" w:w="50"/>
              <w:right w:type="dxa" w:w="80"/>
            </w:tcMar>
          </w:tcPr>
          <w:p>
            <w:r>
              <w:rPr>
                <w:rFonts w:ascii="Arial" w:cs="Arial" w:eastAsia="Arial" w:hAnsi="Arial"/>
                <w:b w:val="false"/>
                <w:bCs w:val="false"/>
                <w:color w:val="000000"/>
                <w:sz w:val="17"/>
                <w:szCs w:val="17"/>
              </w:rPr>
              <w:t xml:space="preserve">Mendine Exp-1: paracetamol + 2 g talc; pure API; pure talc</w:t>
            </w:r>
          </w:p>
        </w:tc>
        <w:tc>
          <w:tcPr>
            <w:tcW w:type="dxa" w:w="1100"/>
            <w:tcMar>
              <w:top w:type="dxa" w:w="50"/>
              <w:left w:type="dxa" w:w="80"/>
              <w:bottom w:type="dxa" w:w="50"/>
              <w:right w:type="dxa" w:w="80"/>
            </w:tcMar>
          </w:tcPr>
          <w:p>
            <w:r>
              <w:rPr>
                <w:rFonts w:ascii="Arial" w:cs="Arial" w:eastAsia="Arial" w:hAnsi="Arial"/>
                <w:b w:val="false"/>
                <w:bCs w:val="false"/>
                <w:color w:val="000000"/>
                <w:sz w:val="17"/>
                <w:szCs w:val="17"/>
              </w:rPr>
              <w:t xml:space="preserve">23</w:t>
            </w:r>
          </w:p>
        </w:tc>
        <w:tc>
          <w:tcPr>
            <w:tcW w:type="dxa" w:w="1000"/>
            <w:tcMar>
              <w:top w:type="dxa" w:w="50"/>
              <w:left w:type="dxa" w:w="80"/>
              <w:bottom w:type="dxa" w:w="50"/>
              <w:right w:type="dxa" w:w="80"/>
            </w:tcMar>
          </w:tcPr>
          <w:p>
            <w:r>
              <w:rPr>
                <w:rFonts w:ascii="Arial" w:cs="Arial" w:eastAsia="Arial" w:hAnsi="Arial"/>
                <w:b w:val="false"/>
                <w:bCs w:val="false"/>
                <w:color w:val="000000"/>
                <w:sz w:val="17"/>
                <w:szCs w:val="17"/>
              </w:rPr>
              <w:t xml:space="preserve">454</w:t>
            </w:r>
          </w:p>
        </w:tc>
        <w:tc>
          <w:tcPr>
            <w:tcW w:type="dxa" w:w="1800"/>
            <w:tcMar>
              <w:top w:type="dxa" w:w="50"/>
              <w:left w:type="dxa" w:w="80"/>
              <w:bottom w:type="dxa" w:w="50"/>
              <w:right w:type="dxa" w:w="80"/>
            </w:tcMar>
          </w:tcPr>
          <w:p>
            <w:r>
              <w:rPr>
                <w:rFonts w:ascii="Arial" w:cs="Arial" w:eastAsia="Arial" w:hAnsi="Arial"/>
                <w:b w:val="false"/>
                <w:bCs w:val="false"/>
                <w:color w:val="000000"/>
                <w:sz w:val="17"/>
                <w:szCs w:val="17"/>
              </w:rPr>
              <w:t xml:space="preserve">80–120 % LC</w:t>
            </w:r>
          </w:p>
        </w:tc>
      </w:tr>
      <w:tr>
        <w:tc>
          <w:tcPr>
            <w:tcW w:type="dxa" w:w="700"/>
            <w:tcMar>
              <w:top w:type="dxa" w:w="50"/>
              <w:left w:type="dxa" w:w="80"/>
              <w:bottom w:type="dxa" w:w="50"/>
              <w:right w:type="dxa" w:w="80"/>
            </w:tcMar>
          </w:tcPr>
          <w:p>
            <w:r>
              <w:rPr>
                <w:rFonts w:ascii="Arial" w:cs="Arial" w:eastAsia="Arial" w:hAnsi="Arial"/>
                <w:b w:val="false"/>
                <w:bCs w:val="false"/>
                <w:color w:val="000000"/>
                <w:sz w:val="17"/>
                <w:szCs w:val="17"/>
              </w:rPr>
              <w:t xml:space="preserve">C06</w:t>
            </w:r>
          </w:p>
        </w:tc>
        <w:tc>
          <w:tcPr>
            <w:tcW w:type="dxa" w:w="4906"/>
            <w:tcMar>
              <w:top w:type="dxa" w:w="50"/>
              <w:left w:type="dxa" w:w="80"/>
              <w:bottom w:type="dxa" w:w="50"/>
              <w:right w:type="dxa" w:w="80"/>
            </w:tcMar>
          </w:tcPr>
          <w:p>
            <w:r>
              <w:rPr>
                <w:rFonts w:ascii="Arial" w:cs="Arial" w:eastAsia="Arial" w:hAnsi="Arial"/>
                <w:b w:val="false"/>
                <w:bCs w:val="false"/>
                <w:color w:val="000000"/>
                <w:sz w:val="17"/>
                <w:szCs w:val="17"/>
              </w:rPr>
              <w:t xml:space="preserve">Mendine Exp-2: 2 g paracetamol, talc varied</w:t>
            </w:r>
          </w:p>
        </w:tc>
        <w:tc>
          <w:tcPr>
            <w:tcW w:type="dxa" w:w="1100"/>
            <w:tcMar>
              <w:top w:type="dxa" w:w="50"/>
              <w:left w:type="dxa" w:w="80"/>
              <w:bottom w:type="dxa" w:w="50"/>
              <w:right w:type="dxa" w:w="80"/>
            </w:tcMar>
          </w:tcPr>
          <w:p>
            <w:r>
              <w:rPr>
                <w:rFonts w:ascii="Arial" w:cs="Arial" w:eastAsia="Arial" w:hAnsi="Arial"/>
                <w:b w:val="false"/>
                <w:bCs w:val="false"/>
                <w:color w:val="000000"/>
                <w:sz w:val="17"/>
                <w:szCs w:val="17"/>
              </w:rPr>
              <w:t xml:space="preserve">17</w:t>
            </w:r>
          </w:p>
        </w:tc>
        <w:tc>
          <w:tcPr>
            <w:tcW w:type="dxa" w:w="1000"/>
            <w:tcMar>
              <w:top w:type="dxa" w:w="50"/>
              <w:left w:type="dxa" w:w="80"/>
              <w:bottom w:type="dxa" w:w="50"/>
              <w:right w:type="dxa" w:w="80"/>
            </w:tcMar>
          </w:tcPr>
          <w:p>
            <w:r>
              <w:rPr>
                <w:rFonts w:ascii="Arial" w:cs="Arial" w:eastAsia="Arial" w:hAnsi="Arial"/>
                <w:b w:val="false"/>
                <w:bCs w:val="false"/>
                <w:color w:val="000000"/>
                <w:sz w:val="17"/>
                <w:szCs w:val="17"/>
              </w:rPr>
              <w:t xml:space="preserve">272</w:t>
            </w:r>
          </w:p>
        </w:tc>
        <w:tc>
          <w:tcPr>
            <w:tcW w:type="dxa" w:w="1800"/>
            <w:tcMar>
              <w:top w:type="dxa" w:w="50"/>
              <w:left w:type="dxa" w:w="80"/>
              <w:bottom w:type="dxa" w:w="50"/>
              <w:right w:type="dxa" w:w="80"/>
            </w:tcMar>
          </w:tcPr>
          <w:p>
            <w:r>
              <w:rPr>
                <w:rFonts w:ascii="Arial" w:cs="Arial" w:eastAsia="Arial" w:hAnsi="Arial"/>
                <w:b w:val="false"/>
                <w:bCs w:val="false"/>
                <w:color w:val="000000"/>
                <w:sz w:val="17"/>
                <w:szCs w:val="17"/>
              </w:rPr>
              <w:t xml:space="preserve">45.5–55.6 % w/w</w:t>
            </w:r>
          </w:p>
        </w:tc>
      </w:tr>
      <w:tr>
        <w:tc>
          <w:tcPr>
            <w:tcW w:type="dxa" w:w="700"/>
            <w:tcMar>
              <w:top w:type="dxa" w:w="50"/>
              <w:left w:type="dxa" w:w="80"/>
              <w:bottom w:type="dxa" w:w="50"/>
              <w:right w:type="dxa" w:w="80"/>
            </w:tcMar>
          </w:tcPr>
          <w:p>
            <w:r>
              <w:rPr>
                <w:rFonts w:ascii="Arial" w:cs="Arial" w:eastAsia="Arial" w:hAnsi="Arial"/>
                <w:b w:val="false"/>
                <w:bCs w:val="false"/>
                <w:color w:val="000000"/>
                <w:sz w:val="17"/>
                <w:szCs w:val="17"/>
              </w:rPr>
              <w:t xml:space="preserve">C07</w:t>
            </w:r>
          </w:p>
        </w:tc>
        <w:tc>
          <w:tcPr>
            <w:tcW w:type="dxa" w:w="4906"/>
            <w:tcMar>
              <w:top w:type="dxa" w:w="50"/>
              <w:left w:type="dxa" w:w="80"/>
              <w:bottom w:type="dxa" w:w="50"/>
              <w:right w:type="dxa" w:w="80"/>
            </w:tcMar>
          </w:tcPr>
          <w:p>
            <w:r>
              <w:rPr>
                <w:rFonts w:ascii="Arial" w:cs="Arial" w:eastAsia="Arial" w:hAnsi="Arial"/>
                <w:b w:val="false"/>
                <w:bCs w:val="false"/>
                <w:color w:val="000000"/>
                <w:sz w:val="17"/>
                <w:szCs w:val="17"/>
              </w:rPr>
              <w:t xml:space="preserve">Mendine sub-samples 15a–d, 16a–d</w:t>
            </w:r>
          </w:p>
        </w:tc>
        <w:tc>
          <w:tcPr>
            <w:tcW w:type="dxa" w:w="1100"/>
            <w:tcMar>
              <w:top w:type="dxa" w:w="50"/>
              <w:left w:type="dxa" w:w="80"/>
              <w:bottom w:type="dxa" w:w="50"/>
              <w:right w:type="dxa" w:w="80"/>
            </w:tcMar>
          </w:tcPr>
          <w:p>
            <w:r>
              <w:rPr>
                <w:rFonts w:ascii="Arial" w:cs="Arial" w:eastAsia="Arial" w:hAnsi="Arial"/>
                <w:b w:val="false"/>
                <w:bCs w:val="false"/>
                <w:color w:val="000000"/>
                <w:sz w:val="17"/>
                <w:szCs w:val="17"/>
              </w:rPr>
              <w:t xml:space="preserve">8</w:t>
            </w:r>
          </w:p>
        </w:tc>
        <w:tc>
          <w:tcPr>
            <w:tcW w:type="dxa" w:w="1000"/>
            <w:tcMar>
              <w:top w:type="dxa" w:w="50"/>
              <w:left w:type="dxa" w:w="80"/>
              <w:bottom w:type="dxa" w:w="50"/>
              <w:right w:type="dxa" w:w="80"/>
            </w:tcMar>
          </w:tcPr>
          <w:p>
            <w:r>
              <w:rPr>
                <w:rFonts w:ascii="Arial" w:cs="Arial" w:eastAsia="Arial" w:hAnsi="Arial"/>
                <w:b w:val="false"/>
                <w:bCs w:val="false"/>
                <w:color w:val="000000"/>
                <w:sz w:val="17"/>
                <w:szCs w:val="17"/>
              </w:rPr>
              <w:t xml:space="preserve">128</w:t>
            </w:r>
          </w:p>
        </w:tc>
        <w:tc>
          <w:tcPr>
            <w:tcW w:type="dxa" w:w="1800"/>
            <w:tcMar>
              <w:top w:type="dxa" w:w="50"/>
              <w:left w:type="dxa" w:w="80"/>
              <w:bottom w:type="dxa" w:w="50"/>
              <w:right w:type="dxa" w:w="80"/>
            </w:tcMar>
          </w:tcPr>
          <w:p>
            <w:r>
              <w:rPr>
                <w:rFonts w:ascii="Arial" w:cs="Arial" w:eastAsia="Arial" w:hAnsi="Arial"/>
                <w:b w:val="false"/>
                <w:bCs w:val="false"/>
                <w:color w:val="000000"/>
                <w:sz w:val="17"/>
                <w:szCs w:val="17"/>
              </w:rPr>
              <w:t xml:space="preserve">80.5–84.5 % LC</w:t>
            </w:r>
          </w:p>
        </w:tc>
      </w:tr>
      <w:tr>
        <w:tc>
          <w:tcPr>
            <w:tcW w:type="dxa" w:w="700"/>
            <w:tcMar>
              <w:top w:type="dxa" w:w="50"/>
              <w:left w:type="dxa" w:w="80"/>
              <w:bottom w:type="dxa" w:w="50"/>
              <w:right w:type="dxa" w:w="80"/>
            </w:tcMar>
          </w:tcPr>
          <w:p>
            <w:r>
              <w:rPr>
                <w:rFonts w:ascii="Arial" w:cs="Arial" w:eastAsia="Arial" w:hAnsi="Arial"/>
                <w:b w:val="false"/>
                <w:bCs w:val="false"/>
                <w:color w:val="000000"/>
                <w:sz w:val="17"/>
                <w:szCs w:val="17"/>
              </w:rPr>
              <w:t xml:space="preserve">C08</w:t>
            </w:r>
          </w:p>
        </w:tc>
        <w:tc>
          <w:tcPr>
            <w:tcW w:type="dxa" w:w="4906"/>
            <w:tcMar>
              <w:top w:type="dxa" w:w="50"/>
              <w:left w:type="dxa" w:w="80"/>
              <w:bottom w:type="dxa" w:w="50"/>
              <w:right w:type="dxa" w:w="80"/>
            </w:tcMar>
          </w:tcPr>
          <w:p>
            <w:r>
              <w:rPr>
                <w:rFonts w:ascii="Arial" w:cs="Arial" w:eastAsia="Arial" w:hAnsi="Arial"/>
                <w:b w:val="false"/>
                <w:bCs w:val="false"/>
                <w:color w:val="000000"/>
                <w:sz w:val="17"/>
                <w:szCs w:val="17"/>
              </w:rPr>
              <w:t xml:space="preserve">IPRS paracetamol reference standard</w:t>
            </w:r>
          </w:p>
        </w:tc>
        <w:tc>
          <w:tcPr>
            <w:tcW w:type="dxa" w:w="1100"/>
            <w:tcMar>
              <w:top w:type="dxa" w:w="50"/>
              <w:left w:type="dxa" w:w="80"/>
              <w:bottom w:type="dxa" w:w="50"/>
              <w:right w:type="dxa" w:w="80"/>
            </w:tcMar>
          </w:tcPr>
          <w:p>
            <w:r>
              <w:rPr>
                <w:rFonts w:ascii="Arial" w:cs="Arial" w:eastAsia="Arial" w:hAnsi="Arial"/>
                <w:b w:val="false"/>
                <w:bCs w:val="false"/>
                <w:color w:val="000000"/>
                <w:sz w:val="17"/>
                <w:szCs w:val="17"/>
              </w:rPr>
              <w:t xml:space="preserve">1</w:t>
            </w:r>
          </w:p>
        </w:tc>
        <w:tc>
          <w:tcPr>
            <w:tcW w:type="dxa" w:w="1000"/>
            <w:tcMar>
              <w:top w:type="dxa" w:w="50"/>
              <w:left w:type="dxa" w:w="80"/>
              <w:bottom w:type="dxa" w:w="50"/>
              <w:right w:type="dxa" w:w="80"/>
            </w:tcMar>
          </w:tcPr>
          <w:p>
            <w:r>
              <w:rPr>
                <w:rFonts w:ascii="Arial" w:cs="Arial" w:eastAsia="Arial" w:hAnsi="Arial"/>
                <w:b w:val="false"/>
                <w:bCs w:val="false"/>
                <w:color w:val="000000"/>
                <w:sz w:val="17"/>
                <w:szCs w:val="17"/>
              </w:rPr>
              <w:t xml:space="preserve">4</w:t>
            </w:r>
          </w:p>
        </w:tc>
        <w:tc>
          <w:tcPr>
            <w:tcW w:type="dxa" w:w="1800"/>
            <w:tcMar>
              <w:top w:type="dxa" w:w="50"/>
              <w:left w:type="dxa" w:w="80"/>
              <w:bottom w:type="dxa" w:w="50"/>
              <w:right w:type="dxa" w:w="80"/>
            </w:tcMar>
          </w:tcPr>
          <w:p>
            <w:r>
              <w:rPr>
                <w:rFonts w:ascii="Arial" w:cs="Arial" w:eastAsia="Arial" w:hAnsi="Arial"/>
                <w:b w:val="false"/>
                <w:bCs w:val="false"/>
                <w:color w:val="000000"/>
                <w:sz w:val="17"/>
                <w:szCs w:val="17"/>
              </w:rPr>
              <w:t xml:space="preserve">identity</w:t>
            </w:r>
          </w:p>
        </w:tc>
      </w:tr>
      <w:tr>
        <w:tc>
          <w:tcPr>
            <w:tcW w:type="dxa" w:w="700"/>
            <w:tcMar>
              <w:top w:type="dxa" w:w="50"/>
              <w:left w:type="dxa" w:w="80"/>
              <w:bottom w:type="dxa" w:w="50"/>
              <w:right w:type="dxa" w:w="80"/>
            </w:tcMar>
          </w:tcPr>
          <w:p>
            <w:r>
              <w:rPr>
                <w:rFonts w:ascii="Arial" w:cs="Arial" w:eastAsia="Arial" w:hAnsi="Arial"/>
                <w:b w:val="false"/>
                <w:bCs w:val="false"/>
                <w:color w:val="000000"/>
                <w:sz w:val="17"/>
                <w:szCs w:val="17"/>
              </w:rPr>
              <w:t xml:space="preserve">C09</w:t>
            </w:r>
          </w:p>
        </w:tc>
        <w:tc>
          <w:tcPr>
            <w:tcW w:type="dxa" w:w="4906"/>
            <w:tcMar>
              <w:top w:type="dxa" w:w="50"/>
              <w:left w:type="dxa" w:w="80"/>
              <w:bottom w:type="dxa" w:w="50"/>
              <w:right w:type="dxa" w:w="80"/>
            </w:tcMar>
          </w:tcPr>
          <w:p>
            <w:r>
              <w:rPr>
                <w:rFonts w:ascii="Arial" w:cs="Arial" w:eastAsia="Arial" w:hAnsi="Arial"/>
                <w:b w:val="false"/>
                <w:bCs w:val="false"/>
                <w:color w:val="000000"/>
                <w:sz w:val="17"/>
                <w:szCs w:val="17"/>
              </w:rPr>
              <w:t xml:space="preserve">2026 paracetamol + talc calibration set</w:t>
            </w:r>
          </w:p>
        </w:tc>
        <w:tc>
          <w:tcPr>
            <w:tcW w:type="dxa" w:w="1100"/>
            <w:tcMar>
              <w:top w:type="dxa" w:w="50"/>
              <w:left w:type="dxa" w:w="80"/>
              <w:bottom w:type="dxa" w:w="50"/>
              <w:right w:type="dxa" w:w="80"/>
            </w:tcMar>
          </w:tcPr>
          <w:p>
            <w:r>
              <w:rPr>
                <w:rFonts w:ascii="Arial" w:cs="Arial" w:eastAsia="Arial" w:hAnsi="Arial"/>
                <w:b w:val="false"/>
                <w:bCs w:val="false"/>
                <w:color w:val="000000"/>
                <w:sz w:val="17"/>
                <w:szCs w:val="17"/>
              </w:rPr>
              <w:t xml:space="preserve">57</w:t>
            </w:r>
          </w:p>
        </w:tc>
        <w:tc>
          <w:tcPr>
            <w:tcW w:type="dxa" w:w="1000"/>
            <w:tcMar>
              <w:top w:type="dxa" w:w="50"/>
              <w:left w:type="dxa" w:w="80"/>
              <w:bottom w:type="dxa" w:w="50"/>
              <w:right w:type="dxa" w:w="80"/>
            </w:tcMar>
          </w:tcPr>
          <w:p>
            <w:r>
              <w:rPr>
                <w:rFonts w:ascii="Arial" w:cs="Arial" w:eastAsia="Arial" w:hAnsi="Arial"/>
                <w:b w:val="false"/>
                <w:bCs w:val="false"/>
                <w:color w:val="000000"/>
                <w:sz w:val="17"/>
                <w:szCs w:val="17"/>
              </w:rPr>
              <w:t xml:space="preserve">912</w:t>
            </w:r>
          </w:p>
        </w:tc>
        <w:tc>
          <w:tcPr>
            <w:tcW w:type="dxa" w:w="1800"/>
            <w:tcMar>
              <w:top w:type="dxa" w:w="50"/>
              <w:left w:type="dxa" w:w="80"/>
              <w:bottom w:type="dxa" w:w="50"/>
              <w:right w:type="dxa" w:w="80"/>
            </w:tcMar>
          </w:tcPr>
          <w:p>
            <w:r>
              <w:rPr>
                <w:rFonts w:ascii="Arial" w:cs="Arial" w:eastAsia="Arial" w:hAnsi="Arial"/>
                <w:b w:val="false"/>
                <w:bCs w:val="false"/>
                <w:color w:val="000000"/>
                <w:sz w:val="17"/>
                <w:szCs w:val="17"/>
              </w:rPr>
              <w:t xml:space="preserve">80–120 % LC</w:t>
            </w:r>
          </w:p>
        </w:tc>
      </w:tr>
      <w:tr>
        <w:tc>
          <w:tcPr>
            <w:tcW w:type="dxa" w:w="700"/>
            <w:tcMar>
              <w:top w:type="dxa" w:w="50"/>
              <w:left w:type="dxa" w:w="80"/>
              <w:bottom w:type="dxa" w:w="50"/>
              <w:right w:type="dxa" w:w="80"/>
            </w:tcMar>
          </w:tcPr>
          <w:p>
            <w:r>
              <w:rPr>
                <w:rFonts w:ascii="Arial" w:cs="Arial" w:eastAsia="Arial" w:hAnsi="Arial"/>
                <w:b w:val="false"/>
                <w:bCs w:val="false"/>
                <w:color w:val="000000"/>
                <w:sz w:val="17"/>
                <w:szCs w:val="17"/>
              </w:rPr>
              <w:t xml:space="preserve">C10</w:t>
            </w:r>
          </w:p>
        </w:tc>
        <w:tc>
          <w:tcPr>
            <w:tcW w:type="dxa" w:w="4906"/>
            <w:tcMar>
              <w:top w:type="dxa" w:w="50"/>
              <w:left w:type="dxa" w:w="80"/>
              <w:bottom w:type="dxa" w:w="50"/>
              <w:right w:type="dxa" w:w="80"/>
            </w:tcMar>
          </w:tcPr>
          <w:p>
            <w:r>
              <w:rPr>
                <w:rFonts w:ascii="Arial" w:cs="Arial" w:eastAsia="Arial" w:hAnsi="Arial"/>
                <w:b w:val="false"/>
                <w:bCs w:val="false"/>
                <w:color w:val="000000"/>
                <w:sz w:val="17"/>
                <w:szCs w:val="17"/>
              </w:rPr>
              <w:t xml:space="preserve">Mar 2026 re-scans of C09 powders</w:t>
            </w:r>
          </w:p>
        </w:tc>
        <w:tc>
          <w:tcPr>
            <w:tcW w:type="dxa" w:w="1100"/>
            <w:tcMar>
              <w:top w:type="dxa" w:w="50"/>
              <w:left w:type="dxa" w:w="80"/>
              <w:bottom w:type="dxa" w:w="50"/>
              <w:right w:type="dxa" w:w="80"/>
            </w:tcMar>
          </w:tcPr>
          <w:p>
            <w:r>
              <w:rPr>
                <w:rFonts w:ascii="Arial" w:cs="Arial" w:eastAsia="Arial" w:hAnsi="Arial"/>
                <w:b w:val="false"/>
                <w:bCs w:val="false"/>
                <w:color w:val="000000"/>
                <w:sz w:val="17"/>
                <w:szCs w:val="17"/>
              </w:rPr>
              <w:t xml:space="preserve">13</w:t>
            </w:r>
          </w:p>
        </w:tc>
        <w:tc>
          <w:tcPr>
            <w:tcW w:type="dxa" w:w="1000"/>
            <w:tcMar>
              <w:top w:type="dxa" w:w="50"/>
              <w:left w:type="dxa" w:w="80"/>
              <w:bottom w:type="dxa" w:w="50"/>
              <w:right w:type="dxa" w:w="80"/>
            </w:tcMar>
          </w:tcPr>
          <w:p>
            <w:r>
              <w:rPr>
                <w:rFonts w:ascii="Arial" w:cs="Arial" w:eastAsia="Arial" w:hAnsi="Arial"/>
                <w:b w:val="false"/>
                <w:bCs w:val="false"/>
                <w:color w:val="000000"/>
                <w:sz w:val="17"/>
                <w:szCs w:val="17"/>
              </w:rPr>
              <w:t xml:space="preserve">61</w:t>
            </w:r>
          </w:p>
        </w:tc>
        <w:tc>
          <w:tcPr>
            <w:tcW w:type="dxa" w:w="1800"/>
            <w:tcMar>
              <w:top w:type="dxa" w:w="50"/>
              <w:left w:type="dxa" w:w="80"/>
              <w:bottom w:type="dxa" w:w="50"/>
              <w:right w:type="dxa" w:w="80"/>
            </w:tcMar>
          </w:tcPr>
          <w:p>
            <w:r>
              <w:rPr>
                <w:rFonts w:ascii="Arial" w:cs="Arial" w:eastAsia="Arial" w:hAnsi="Arial"/>
                <w:b w:val="false"/>
                <w:bCs w:val="false"/>
                <w:color w:val="000000"/>
                <w:sz w:val="17"/>
                <w:szCs w:val="17"/>
              </w:rPr>
              <w:t xml:space="preserve">93–120 % LC</w:t>
            </w:r>
          </w:p>
        </w:tc>
      </w:tr>
    </w:tbl>
    <w:p>
      <w:pPr>
        <w:spacing w:after="80"/>
      </w:pPr>
    </w:p>
    <w:p>
      <w:pPr>
        <w:spacing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1. Mean spectra of the pure components and of 80 % and 120 % label-claim blends, before and after SNV. Talc dominates below 1300 nm and at the 1390 nm OH band; paracetamol drives the 1500–1710 nm region.</w:t>
      </w:r>
    </w:p>
    <w:p>
      <w:pPr>
        <w:pStyle w:val="Heading1"/>
      </w:pPr>
      <w:r>
        <w:t xml:space="preserve">2. Data-quality findings</w:t>
      </w:r>
    </w:p>
    <w:p>
      <w:pPr>
        <w:spacing w:after="120" w:line="276"/>
      </w:pPr>
      <w:r>
        <w:rPr>
          <w:rFonts w:ascii="Arial" w:cs="Arial" w:eastAsia="Arial" w:hAnsi="Arial"/>
          <w:sz w:val="21"/>
          <w:szCs w:val="21"/>
        </w:rPr>
        <w:t xml:space="preserve">Building the master file required reconciling roughly 1,200 files. The absorbance calculated from the 2024 raw counts, −log10((sample − dark)/(white − dark)), matched the team's own exported absorbance exactly (maximum difference 1×10⁻¹⁶), which confirms the processing chain. The issues found are recorded in the qc_flag column of the master file.</w:t>
      </w:r>
    </w:p>
    <w:p>
      <w:pPr>
        <w:pStyle w:val="ListParagraph"/>
        <w:numPr>
          <w:ilvl w:val="0"/>
          <w:numId w:val="2"/>
        </w:numPr>
        <w:spacing w:after="80" w:line="276"/>
      </w:pPr>
      <w:r>
        <w:rPr>
          <w:rFonts w:ascii="Arial" w:cs="Arial" w:eastAsia="Arial" w:hAnsi="Arial"/>
          <w:sz w:val="21"/>
          <w:szCs w:val="21"/>
        </w:rPr>
        <w:t xml:space="preserve">A pure-talc scan (11 May 2025) carried the label 101; it is stored as 0 % paracetamol.</w:t>
      </w:r>
    </w:p>
    <w:p>
      <w:pPr>
        <w:pStyle w:val="ListParagraph"/>
        <w:numPr>
          <w:ilvl w:val="0"/>
          <w:numId w:val="2"/>
        </w:numPr>
        <w:spacing w:after="80" w:line="276"/>
      </w:pPr>
      <w:r>
        <w:rPr>
          <w:rFonts w:ascii="Arial" w:cs="Arial" w:eastAsia="Arial" w:hAnsi="Arial"/>
          <w:sz w:val="21"/>
          <w:szCs w:val="21"/>
        </w:rPr>
        <w:t xml:space="preserve">Mendine Experiment-2 files only held the purity value (98), so % w/w was taken from the design table by sample number.</w:t>
      </w:r>
    </w:p>
    <w:p>
      <w:pPr>
        <w:pStyle w:val="ListParagraph"/>
        <w:numPr>
          <w:ilvl w:val="0"/>
          <w:numId w:val="2"/>
        </w:numPr>
        <w:spacing w:after="80" w:line="276"/>
      </w:pPr>
      <w:r>
        <w:rPr>
          <w:rFonts w:ascii="Arial" w:cs="Arial" w:eastAsia="Arial" w:hAnsi="Arial"/>
          <w:sz w:val="21"/>
          <w:szCs w:val="21"/>
        </w:rPr>
        <w:t xml:space="preserve">The C10 "test" files are re-scans of powders already in C09. They check re-scan repeatability, not new preparations. The 16 and 17 March 2026 files are subsets of the 11–12 March file.</w:t>
      </w:r>
    </w:p>
    <w:p>
      <w:pPr>
        <w:pStyle w:val="ListParagraph"/>
        <w:numPr>
          <w:ilvl w:val="0"/>
          <w:numId w:val="2"/>
        </w:numPr>
        <w:spacing w:after="80" w:line="276"/>
      </w:pPr>
      <w:r>
        <w:rPr>
          <w:rFonts w:ascii="Arial" w:cs="Arial" w:eastAsia="Arial" w:hAnsi="Arial"/>
          <w:sz w:val="21"/>
          <w:szCs w:val="21"/>
        </w:rPr>
        <w:t xml:space="preserve">The 2026 samples were scanned roughly in order of label claim (correlation 0.92 between sample order and label). Instrument drift could therefore mimic a concentration signal. The three samples scanned last but labelled near 100 % (S57–S59) were predicted at 99–106 %, not near 120 %, so the model is tracking composition, but future sets should be scanned in random order.</w:t>
      </w:r>
    </w:p>
    <w:p>
      <w:pPr>
        <w:pStyle w:val="ListParagraph"/>
        <w:numPr>
          <w:ilvl w:val="0"/>
          <w:numId w:val="2"/>
        </w:numPr>
        <w:spacing w:after="80" w:line="276"/>
      </w:pPr>
      <w:r>
        <w:rPr>
          <w:rFonts w:ascii="Arial" w:cs="Arial" w:eastAsia="Arial" w:hAnsi="Arial"/>
          <w:sz w:val="21"/>
          <w:szCs w:val="21"/>
        </w:rPr>
        <w:t xml:space="preserve">The 5 March 2025 field test logged predictions of about 330 mg for a 550 mg reference and 506 mg for 600 mg, showing the formulation model deployed at that time did not work on that day.</w:t>
      </w:r>
    </w:p>
    <w:p>
      <w:pPr>
        <w:pStyle w:val="ListParagraph"/>
        <w:numPr>
          <w:ilvl w:val="0"/>
          <w:numId w:val="2"/>
        </w:numPr>
        <w:spacing w:after="80" w:line="276"/>
      </w:pPr>
      <w:r>
        <w:rPr>
          <w:rFonts w:ascii="Arial" w:cs="Arial" w:eastAsia="Arial" w:hAnsi="Arial"/>
          <w:sz w:val="21"/>
          <w:szCs w:val="21"/>
        </w:rPr>
        <w:t xml:space="preserve">The raw spectra show a sharp spike near 1390 nm and noise below 950 nm in every collection. These regions deserve attention when the optical path is next serviced.</w:t>
      </w:r>
    </w:p>
    <w:p>
      <w:pPr>
        <w:pStyle w:val="Heading1"/>
      </w:pPr>
      <w:r>
        <w:t xml:space="preserve">3. Methods</w:t>
      </w:r>
    </w:p>
    <w:p>
      <w:pPr>
        <w:spacing w:after="120" w:line="276"/>
      </w:pPr>
      <w:r>
        <w:rPr>
          <w:rFonts w:ascii="Arial" w:cs="Arial" w:eastAsia="Arial" w:hAnsi="Arial"/>
          <w:sz w:val="21"/>
          <w:szCs w:val="21"/>
        </w:rPr>
        <w:t xml:space="preserve">Spectra were preprocessed with standard normal variate (SNV), alone or followed by a Savitzky–Golay first derivative (window 15, polynomial order 2). The models compared were partial least squares regression (PLSR, 4–15 latent variables), ridge regression, support-vector regression (SVR, RBF kernel), k-nearest neighbours (KNN, k = 3) and random forest (RF). Models were trained on individual scans; each sample's result is the average (benchmarks) or median (final model) of its scans.</w:t>
      </w:r>
    </w:p>
    <w:p>
      <w:pPr>
        <w:spacing w:after="120" w:line="276"/>
      </w:pPr>
      <w:r>
        <w:rPr>
          <w:rFonts w:ascii="Arial" w:cs="Arial" w:eastAsia="Arial" w:hAnsi="Arial"/>
          <w:sz w:val="21"/>
          <w:szCs w:val="21"/>
        </w:rPr>
        <w:t xml:space="preserve">Two validation schemes were compared. The random scheme holds out 20 % of scans at random, as in the 2026 training report. The grouped scheme uses 5-fold cross-validation in which all scans of a physical sample are held out together. Only the grouped scheme reflects how the model will meet a new powder. Transfer was tested by training on one collection and predicting another. Performance is reported as R², root-mean-square error (RMSE) and RPD (standard deviation of the reference divided by RMSE).</w:t>
      </w:r>
    </w:p>
    <w:p>
      <w:pPr>
        <w:pStyle w:val="Heading1"/>
      </w:pPr>
      <w:r>
        <w:t xml:space="preserve">4. Results</w:t>
      </w:r>
    </w:p>
    <w:p>
      <w:pPr>
        <w:pStyle w:val="Heading2"/>
      </w:pPr>
      <w:r>
        <w:t xml:space="preserve">4.1 The validation scheme changes the answer</w:t>
      </w:r>
    </w:p>
    <w:p>
      <w:pPr>
        <w:spacing w:after="120" w:line="276"/>
      </w:pPr>
      <w:r>
        <w:rPr>
          <w:rFonts w:ascii="Arial" w:cs="Arial" w:eastAsia="Arial" w:hAnsi="Arial"/>
          <w:sz w:val="21"/>
          <w:szCs w:val="21"/>
        </w:rPr>
        <w:t xml:space="preserve">Figure 2 shows the same models on the 2026 blends under both schemes. With a random scan split, SVR and KNN appear to predict within 0.7–0.8 % label claim. With sample-grouped validation their error rises to 5.0–5.6 %, and PLSR to 7.7 %. The random split mainly measures how alike repeat scans of one powder are.</w:t>
      </w:r>
    </w:p>
    <w:p>
      <w:pPr>
        <w:spacing w:before="12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57450"/>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2. Sample-level RMSE for the 2026 blend set (C09, SNV) under a random scan split and under sample-grouped cross-validation.</w:t>
      </w:r>
    </w:p>
    <w:p>
      <w:pPr>
        <w:pStyle w:val="Heading2"/>
      </w:pPr>
      <w:r>
        <w:t xml:space="preserve">4.2 Performance within each collection (sample-grouped CV)</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2006"/>
        <w:gridCol w:w="1000"/>
        <w:gridCol w:w="1300"/>
        <w:gridCol w:w="1100"/>
      </w:tblGrid>
      <w:tr>
        <w:trPr>
          <w:tblHeader/>
        </w:trPr>
        <w:tc>
          <w:tcPr>
            <w:tcW w:type="dxa" w:w="3200"/>
            <w:shd w:fill="2F6F8F" w:color="auto" w:val="clear"/>
            <w:tcMar>
              <w:top w:type="dxa" w:w="50"/>
              <w:left w:type="dxa" w:w="80"/>
              <w:bottom w:type="dxa" w:w="50"/>
              <w:right w:type="dxa" w:w="80"/>
            </w:tcMar>
          </w:tcPr>
          <w:p>
            <w:r>
              <w:rPr>
                <w:rFonts w:ascii="Arial" w:cs="Arial" w:eastAsia="Arial" w:hAnsi="Arial"/>
                <w:b/>
                <w:bCs/>
                <w:color w:val="FFFFFF"/>
                <w:sz w:val="17"/>
                <w:szCs w:val="17"/>
              </w:rPr>
              <w:t xml:space="preserve">Collection</w:t>
            </w:r>
          </w:p>
        </w:tc>
        <w:tc>
          <w:tcPr>
            <w:tcW w:type="dxa" w:w="900"/>
            <w:shd w:fill="2F6F8F" w:color="auto" w:val="clear"/>
            <w:tcMar>
              <w:top w:type="dxa" w:w="50"/>
              <w:left w:type="dxa" w:w="80"/>
              <w:bottom w:type="dxa" w:w="50"/>
              <w:right w:type="dxa" w:w="80"/>
            </w:tcMar>
          </w:tcPr>
          <w:p>
            <w:r>
              <w:rPr>
                <w:rFonts w:ascii="Arial" w:cs="Arial" w:eastAsia="Arial" w:hAnsi="Arial"/>
                <w:b/>
                <w:bCs/>
                <w:color w:val="FFFFFF"/>
                <w:sz w:val="17"/>
                <w:szCs w:val="17"/>
              </w:rPr>
              <w:t xml:space="preserve">Target</w:t>
            </w:r>
          </w:p>
        </w:tc>
        <w:tc>
          <w:tcPr>
            <w:tcW w:type="dxa" w:w="2006"/>
            <w:shd w:fill="2F6F8F" w:color="auto" w:val="clear"/>
            <w:tcMar>
              <w:top w:type="dxa" w:w="50"/>
              <w:left w:type="dxa" w:w="80"/>
              <w:bottom w:type="dxa" w:w="50"/>
              <w:right w:type="dxa" w:w="80"/>
            </w:tcMar>
          </w:tcPr>
          <w:p>
            <w:r>
              <w:rPr>
                <w:rFonts w:ascii="Arial" w:cs="Arial" w:eastAsia="Arial" w:hAnsi="Arial"/>
                <w:b/>
                <w:bCs/>
                <w:color w:val="FFFFFF"/>
                <w:sz w:val="17"/>
                <w:szCs w:val="17"/>
              </w:rPr>
              <w:t xml:space="preserve">Best model</w:t>
            </w:r>
          </w:p>
        </w:tc>
        <w:tc>
          <w:tcPr>
            <w:tcW w:type="dxa" w:w="1000"/>
            <w:shd w:fill="2F6F8F" w:color="auto" w:val="clear"/>
            <w:tcMar>
              <w:top w:type="dxa" w:w="50"/>
              <w:left w:type="dxa" w:w="80"/>
              <w:bottom w:type="dxa" w:w="50"/>
              <w:right w:type="dxa" w:w="80"/>
            </w:tcMar>
          </w:tcPr>
          <w:p>
            <w:r>
              <w:rPr>
                <w:rFonts w:ascii="Arial" w:cs="Arial" w:eastAsia="Arial" w:hAnsi="Arial"/>
                <w:b/>
                <w:bCs/>
                <w:color w:val="FFFFFF"/>
                <w:sz w:val="17"/>
                <w:szCs w:val="17"/>
              </w:rPr>
              <w:t xml:space="preserve">R²</w:t>
            </w:r>
          </w:p>
        </w:tc>
        <w:tc>
          <w:tcPr>
            <w:tcW w:type="dxa" w:w="1300"/>
            <w:shd w:fill="2F6F8F" w:color="auto" w:val="clear"/>
            <w:tcMar>
              <w:top w:type="dxa" w:w="50"/>
              <w:left w:type="dxa" w:w="80"/>
              <w:bottom w:type="dxa" w:w="50"/>
              <w:right w:type="dxa" w:w="80"/>
            </w:tcMar>
          </w:tcPr>
          <w:p>
            <w:r>
              <w:rPr>
                <w:rFonts w:ascii="Arial" w:cs="Arial" w:eastAsia="Arial" w:hAnsi="Arial"/>
                <w:b/>
                <w:bCs/>
                <w:color w:val="FFFFFF"/>
                <w:sz w:val="17"/>
                <w:szCs w:val="17"/>
              </w:rPr>
              <w:t xml:space="preserve">RMSE</w:t>
            </w:r>
          </w:p>
        </w:tc>
        <w:tc>
          <w:tcPr>
            <w:tcW w:type="dxa" w:w="1100"/>
            <w:shd w:fill="2F6F8F" w:color="auto" w:val="clear"/>
            <w:tcMar>
              <w:top w:type="dxa" w:w="50"/>
              <w:left w:type="dxa" w:w="80"/>
              <w:bottom w:type="dxa" w:w="50"/>
              <w:right w:type="dxa" w:w="80"/>
            </w:tcMar>
          </w:tcPr>
          <w:p>
            <w:r>
              <w:rPr>
                <w:rFonts w:ascii="Arial" w:cs="Arial" w:eastAsia="Arial" w:hAnsi="Arial"/>
                <w:b/>
                <w:bCs/>
                <w:color w:val="FFFFFF"/>
                <w:sz w:val="17"/>
                <w:szCs w:val="17"/>
              </w:rPr>
              <w:t xml:space="preserve">RPD</w:t>
            </w:r>
          </w:p>
        </w:tc>
      </w:tr>
      <w:tr>
        <w:tc>
          <w:tcPr>
            <w:tcW w:type="dxa" w:w="3200"/>
            <w:tcMar>
              <w:top w:type="dxa" w:w="50"/>
              <w:left w:type="dxa" w:w="80"/>
              <w:bottom w:type="dxa" w:w="50"/>
              <w:right w:type="dxa" w:w="80"/>
            </w:tcMar>
          </w:tcPr>
          <w:p>
            <w:r>
              <w:rPr>
                <w:rFonts w:ascii="Arial" w:cs="Arial" w:eastAsia="Arial" w:hAnsi="Arial"/>
                <w:b w:val="false"/>
                <w:bCs w:val="false"/>
                <w:color w:val="000000"/>
                <w:sz w:val="17"/>
                <w:szCs w:val="17"/>
              </w:rPr>
              <w:t xml:space="preserve">C09 blends 2026 (57)</w:t>
            </w:r>
          </w:p>
        </w:tc>
        <w:tc>
          <w:tcPr>
            <w:tcW w:type="dxa" w:w="900"/>
            <w:tcMar>
              <w:top w:type="dxa" w:w="50"/>
              <w:left w:type="dxa" w:w="80"/>
              <w:bottom w:type="dxa" w:w="50"/>
              <w:right w:type="dxa" w:w="80"/>
            </w:tcMar>
          </w:tcPr>
          <w:p>
            <w:r>
              <w:rPr>
                <w:rFonts w:ascii="Arial" w:cs="Arial" w:eastAsia="Arial" w:hAnsi="Arial"/>
                <w:b w:val="false"/>
                <w:bCs w:val="false"/>
                <w:color w:val="000000"/>
                <w:sz w:val="17"/>
                <w:szCs w:val="17"/>
              </w:rPr>
              <w:t xml:space="preserve">% LC</w:t>
            </w:r>
          </w:p>
        </w:tc>
        <w:tc>
          <w:tcPr>
            <w:tcW w:type="dxa" w:w="2006"/>
            <w:tcMar>
              <w:top w:type="dxa" w:w="50"/>
              <w:left w:type="dxa" w:w="80"/>
              <w:bottom w:type="dxa" w:w="50"/>
              <w:right w:type="dxa" w:w="80"/>
            </w:tcMar>
          </w:tcPr>
          <w:p>
            <w:r>
              <w:rPr>
                <w:rFonts w:ascii="Arial" w:cs="Arial" w:eastAsia="Arial" w:hAnsi="Arial"/>
                <w:b w:val="false"/>
                <w:bCs w:val="false"/>
                <w:color w:val="000000"/>
                <w:sz w:val="17"/>
                <w:szCs w:val="17"/>
              </w:rPr>
              <w:t xml:space="preserve">SNV + SVR</w:t>
            </w:r>
          </w:p>
        </w:tc>
        <w:tc>
          <w:tcPr>
            <w:tcW w:type="dxa" w:w="1000"/>
            <w:tcMar>
              <w:top w:type="dxa" w:w="50"/>
              <w:left w:type="dxa" w:w="80"/>
              <w:bottom w:type="dxa" w:w="50"/>
              <w:right w:type="dxa" w:w="80"/>
            </w:tcMar>
          </w:tcPr>
          <w:p>
            <w:r>
              <w:rPr>
                <w:rFonts w:ascii="Arial" w:cs="Arial" w:eastAsia="Arial" w:hAnsi="Arial"/>
                <w:b w:val="false"/>
                <w:bCs w:val="false"/>
                <w:color w:val="000000"/>
                <w:sz w:val="17"/>
                <w:szCs w:val="17"/>
              </w:rPr>
              <w:t xml:space="preserve">0.79</w:t>
            </w:r>
          </w:p>
        </w:tc>
        <w:tc>
          <w:tcPr>
            <w:tcW w:type="dxa" w:w="1300"/>
            <w:tcMar>
              <w:top w:type="dxa" w:w="50"/>
              <w:left w:type="dxa" w:w="80"/>
              <w:bottom w:type="dxa" w:w="50"/>
              <w:right w:type="dxa" w:w="80"/>
            </w:tcMar>
          </w:tcPr>
          <w:p>
            <w:r>
              <w:rPr>
                <w:rFonts w:ascii="Arial" w:cs="Arial" w:eastAsia="Arial" w:hAnsi="Arial"/>
                <w:b w:val="false"/>
                <w:bCs w:val="false"/>
                <w:color w:val="000000"/>
                <w:sz w:val="17"/>
                <w:szCs w:val="17"/>
              </w:rPr>
              <w:t xml:space="preserve">5.05</w:t>
            </w:r>
          </w:p>
        </w:tc>
        <w:tc>
          <w:tcPr>
            <w:tcW w:type="dxa" w:w="1100"/>
            <w:tcMar>
              <w:top w:type="dxa" w:w="50"/>
              <w:left w:type="dxa" w:w="80"/>
              <w:bottom w:type="dxa" w:w="50"/>
              <w:right w:type="dxa" w:w="80"/>
            </w:tcMar>
          </w:tcPr>
          <w:p>
            <w:r>
              <w:rPr>
                <w:rFonts w:ascii="Arial" w:cs="Arial" w:eastAsia="Arial" w:hAnsi="Arial"/>
                <w:b w:val="false"/>
                <w:bCs w:val="false"/>
                <w:color w:val="000000"/>
                <w:sz w:val="17"/>
                <w:szCs w:val="17"/>
              </w:rPr>
              <w:t xml:space="preserve">2.19</w:t>
            </w:r>
          </w:p>
        </w:tc>
      </w:tr>
      <w:tr>
        <w:tc>
          <w:tcPr>
            <w:tcW w:type="dxa" w:w="3200"/>
            <w:tcMar>
              <w:top w:type="dxa" w:w="50"/>
              <w:left w:type="dxa" w:w="80"/>
              <w:bottom w:type="dxa" w:w="50"/>
              <w:right w:type="dxa" w:w="80"/>
            </w:tcMar>
          </w:tcPr>
          <w:p>
            <w:r>
              <w:rPr>
                <w:rFonts w:ascii="Arial" w:cs="Arial" w:eastAsia="Arial" w:hAnsi="Arial"/>
                <w:b w:val="false"/>
                <w:bCs w:val="false"/>
                <w:color w:val="000000"/>
                <w:sz w:val="17"/>
                <w:szCs w:val="17"/>
              </w:rPr>
              <w:t xml:space="preserve">C05 Mendine blends 2025 (17)</w:t>
            </w:r>
          </w:p>
        </w:tc>
        <w:tc>
          <w:tcPr>
            <w:tcW w:type="dxa" w:w="900"/>
            <w:tcMar>
              <w:top w:type="dxa" w:w="50"/>
              <w:left w:type="dxa" w:w="80"/>
              <w:bottom w:type="dxa" w:w="50"/>
              <w:right w:type="dxa" w:w="80"/>
            </w:tcMar>
          </w:tcPr>
          <w:p>
            <w:r>
              <w:rPr>
                <w:rFonts w:ascii="Arial" w:cs="Arial" w:eastAsia="Arial" w:hAnsi="Arial"/>
                <w:b w:val="false"/>
                <w:bCs w:val="false"/>
                <w:color w:val="000000"/>
                <w:sz w:val="17"/>
                <w:szCs w:val="17"/>
              </w:rPr>
              <w:t xml:space="preserve">% LC</w:t>
            </w:r>
          </w:p>
        </w:tc>
        <w:tc>
          <w:tcPr>
            <w:tcW w:type="dxa" w:w="2006"/>
            <w:tcMar>
              <w:top w:type="dxa" w:w="50"/>
              <w:left w:type="dxa" w:w="80"/>
              <w:bottom w:type="dxa" w:w="50"/>
              <w:right w:type="dxa" w:w="80"/>
            </w:tcMar>
          </w:tcPr>
          <w:p>
            <w:r>
              <w:rPr>
                <w:rFonts w:ascii="Arial" w:cs="Arial" w:eastAsia="Arial" w:hAnsi="Arial"/>
                <w:b w:val="false"/>
                <w:bCs w:val="false"/>
                <w:color w:val="000000"/>
                <w:sz w:val="17"/>
                <w:szCs w:val="17"/>
              </w:rPr>
              <w:t xml:space="preserve">SNV + PLSR-8</w:t>
            </w:r>
          </w:p>
        </w:tc>
        <w:tc>
          <w:tcPr>
            <w:tcW w:type="dxa" w:w="1000"/>
            <w:tcMar>
              <w:top w:type="dxa" w:w="50"/>
              <w:left w:type="dxa" w:w="80"/>
              <w:bottom w:type="dxa" w:w="50"/>
              <w:right w:type="dxa" w:w="80"/>
            </w:tcMar>
          </w:tcPr>
          <w:p>
            <w:r>
              <w:rPr>
                <w:rFonts w:ascii="Arial" w:cs="Arial" w:eastAsia="Arial" w:hAnsi="Arial"/>
                <w:b w:val="false"/>
                <w:bCs w:val="false"/>
                <w:color w:val="000000"/>
                <w:sz w:val="17"/>
                <w:szCs w:val="17"/>
              </w:rPr>
              <w:t xml:space="preserve">0.95</w:t>
            </w:r>
          </w:p>
        </w:tc>
        <w:tc>
          <w:tcPr>
            <w:tcW w:type="dxa" w:w="1300"/>
            <w:tcMar>
              <w:top w:type="dxa" w:w="50"/>
              <w:left w:type="dxa" w:w="80"/>
              <w:bottom w:type="dxa" w:w="50"/>
              <w:right w:type="dxa" w:w="80"/>
            </w:tcMar>
          </w:tcPr>
          <w:p>
            <w:r>
              <w:rPr>
                <w:rFonts w:ascii="Arial" w:cs="Arial" w:eastAsia="Arial" w:hAnsi="Arial"/>
                <w:b w:val="false"/>
                <w:bCs w:val="false"/>
                <w:color w:val="000000"/>
                <w:sz w:val="17"/>
                <w:szCs w:val="17"/>
              </w:rPr>
              <w:t xml:space="preserve">2.87</w:t>
            </w:r>
          </w:p>
        </w:tc>
        <w:tc>
          <w:tcPr>
            <w:tcW w:type="dxa" w:w="1100"/>
            <w:tcMar>
              <w:top w:type="dxa" w:w="50"/>
              <w:left w:type="dxa" w:w="80"/>
              <w:bottom w:type="dxa" w:w="50"/>
              <w:right w:type="dxa" w:w="80"/>
            </w:tcMar>
          </w:tcPr>
          <w:p>
            <w:r>
              <w:rPr>
                <w:rFonts w:ascii="Arial" w:cs="Arial" w:eastAsia="Arial" w:hAnsi="Arial"/>
                <w:b w:val="false"/>
                <w:bCs w:val="false"/>
                <w:color w:val="000000"/>
                <w:sz w:val="17"/>
                <w:szCs w:val="17"/>
              </w:rPr>
              <w:t xml:space="preserve">4.40</w:t>
            </w:r>
          </w:p>
        </w:tc>
      </w:tr>
      <w:tr>
        <w:tc>
          <w:tcPr>
            <w:tcW w:type="dxa" w:w="3200"/>
            <w:tcMar>
              <w:top w:type="dxa" w:w="50"/>
              <w:left w:type="dxa" w:w="80"/>
              <w:bottom w:type="dxa" w:w="50"/>
              <w:right w:type="dxa" w:w="80"/>
            </w:tcMar>
          </w:tcPr>
          <w:p>
            <w:r>
              <w:rPr>
                <w:rFonts w:ascii="Arial" w:cs="Arial" w:eastAsia="Arial" w:hAnsi="Arial"/>
                <w:b w:val="false"/>
                <w:bCs w:val="false"/>
                <w:color w:val="000000"/>
                <w:sz w:val="17"/>
                <w:szCs w:val="17"/>
              </w:rPr>
              <w:t xml:space="preserve">Pooled blends C05+C07+C09 (82)</w:t>
            </w:r>
          </w:p>
        </w:tc>
        <w:tc>
          <w:tcPr>
            <w:tcW w:type="dxa" w:w="900"/>
            <w:tcMar>
              <w:top w:type="dxa" w:w="50"/>
              <w:left w:type="dxa" w:w="80"/>
              <w:bottom w:type="dxa" w:w="50"/>
              <w:right w:type="dxa" w:w="80"/>
            </w:tcMar>
          </w:tcPr>
          <w:p>
            <w:r>
              <w:rPr>
                <w:rFonts w:ascii="Arial" w:cs="Arial" w:eastAsia="Arial" w:hAnsi="Arial"/>
                <w:b w:val="false"/>
                <w:bCs w:val="false"/>
                <w:color w:val="000000"/>
                <w:sz w:val="17"/>
                <w:szCs w:val="17"/>
              </w:rPr>
              <w:t xml:space="preserve">% LC</w:t>
            </w:r>
          </w:p>
        </w:tc>
        <w:tc>
          <w:tcPr>
            <w:tcW w:type="dxa" w:w="2006"/>
            <w:tcMar>
              <w:top w:type="dxa" w:w="50"/>
              <w:left w:type="dxa" w:w="80"/>
              <w:bottom w:type="dxa" w:w="50"/>
              <w:right w:type="dxa" w:w="80"/>
            </w:tcMar>
          </w:tcPr>
          <w:p>
            <w:r>
              <w:rPr>
                <w:rFonts w:ascii="Arial" w:cs="Arial" w:eastAsia="Arial" w:hAnsi="Arial"/>
                <w:b w:val="false"/>
                <w:bCs w:val="false"/>
                <w:color w:val="000000"/>
                <w:sz w:val="17"/>
                <w:szCs w:val="17"/>
              </w:rPr>
              <w:t xml:space="preserve">SNV-SG1 + RF / SVR</w:t>
            </w:r>
          </w:p>
        </w:tc>
        <w:tc>
          <w:tcPr>
            <w:tcW w:type="dxa" w:w="1000"/>
            <w:tcMar>
              <w:top w:type="dxa" w:w="50"/>
              <w:left w:type="dxa" w:w="80"/>
              <w:bottom w:type="dxa" w:w="50"/>
              <w:right w:type="dxa" w:w="80"/>
            </w:tcMar>
          </w:tcPr>
          <w:p>
            <w:r>
              <w:rPr>
                <w:rFonts w:ascii="Arial" w:cs="Arial" w:eastAsia="Arial" w:hAnsi="Arial"/>
                <w:b w:val="false"/>
                <w:bCs w:val="false"/>
                <w:color w:val="000000"/>
                <w:sz w:val="17"/>
                <w:szCs w:val="17"/>
              </w:rPr>
              <w:t xml:space="preserve">0.83–0.84</w:t>
            </w:r>
          </w:p>
        </w:tc>
        <w:tc>
          <w:tcPr>
            <w:tcW w:type="dxa" w:w="1300"/>
            <w:tcMar>
              <w:top w:type="dxa" w:w="50"/>
              <w:left w:type="dxa" w:w="80"/>
              <w:bottom w:type="dxa" w:w="50"/>
              <w:right w:type="dxa" w:w="80"/>
            </w:tcMar>
          </w:tcPr>
          <w:p>
            <w:r>
              <w:rPr>
                <w:rFonts w:ascii="Arial" w:cs="Arial" w:eastAsia="Arial" w:hAnsi="Arial"/>
                <w:b w:val="false"/>
                <w:bCs w:val="false"/>
                <w:color w:val="000000"/>
                <w:sz w:val="17"/>
                <w:szCs w:val="17"/>
              </w:rPr>
              <w:t xml:space="preserve">4.7–4.8</w:t>
            </w:r>
          </w:p>
        </w:tc>
        <w:tc>
          <w:tcPr>
            <w:tcW w:type="dxa" w:w="1100"/>
            <w:tcMar>
              <w:top w:type="dxa" w:w="50"/>
              <w:left w:type="dxa" w:w="80"/>
              <w:bottom w:type="dxa" w:w="50"/>
              <w:right w:type="dxa" w:w="80"/>
            </w:tcMar>
          </w:tcPr>
          <w:p>
            <w:r>
              <w:rPr>
                <w:rFonts w:ascii="Arial" w:cs="Arial" w:eastAsia="Arial" w:hAnsi="Arial"/>
                <w:b w:val="false"/>
                <w:bCs w:val="false"/>
                <w:color w:val="000000"/>
                <w:sz w:val="17"/>
                <w:szCs w:val="17"/>
              </w:rPr>
              <w:t xml:space="preserve">2.5</w:t>
            </w:r>
          </w:p>
        </w:tc>
      </w:tr>
      <w:tr>
        <w:tc>
          <w:tcPr>
            <w:tcW w:type="dxa" w:w="3200"/>
            <w:tcMar>
              <w:top w:type="dxa" w:w="50"/>
              <w:left w:type="dxa" w:w="80"/>
              <w:bottom w:type="dxa" w:w="50"/>
              <w:right w:type="dxa" w:w="80"/>
            </w:tcMar>
          </w:tcPr>
          <w:p>
            <w:r>
              <w:rPr>
                <w:rFonts w:ascii="Arial" w:cs="Arial" w:eastAsia="Arial" w:hAnsi="Arial"/>
                <w:b w:val="false"/>
                <w:bCs w:val="false"/>
                <w:color w:val="000000"/>
                <w:sz w:val="17"/>
                <w:szCs w:val="17"/>
              </w:rPr>
              <w:t xml:space="preserve">C01 formulation Jan 2024 (41)</w:t>
            </w:r>
          </w:p>
        </w:tc>
        <w:tc>
          <w:tcPr>
            <w:tcW w:type="dxa" w:w="900"/>
            <w:tcMar>
              <w:top w:type="dxa" w:w="50"/>
              <w:left w:type="dxa" w:w="80"/>
              <w:bottom w:type="dxa" w:w="50"/>
              <w:right w:type="dxa" w:w="80"/>
            </w:tcMar>
          </w:tcPr>
          <w:p>
            <w:r>
              <w:rPr>
                <w:rFonts w:ascii="Arial" w:cs="Arial" w:eastAsia="Arial" w:hAnsi="Arial"/>
                <w:b w:val="false"/>
                <w:bCs w:val="false"/>
                <w:color w:val="000000"/>
                <w:sz w:val="17"/>
                <w:szCs w:val="17"/>
              </w:rPr>
              <w:t xml:space="preserve">mg</w:t>
            </w:r>
          </w:p>
        </w:tc>
        <w:tc>
          <w:tcPr>
            <w:tcW w:type="dxa" w:w="2006"/>
            <w:tcMar>
              <w:top w:type="dxa" w:w="50"/>
              <w:left w:type="dxa" w:w="80"/>
              <w:bottom w:type="dxa" w:w="50"/>
              <w:right w:type="dxa" w:w="80"/>
            </w:tcMar>
          </w:tcPr>
          <w:p>
            <w:r>
              <w:rPr>
                <w:rFonts w:ascii="Arial" w:cs="Arial" w:eastAsia="Arial" w:hAnsi="Arial"/>
                <w:b w:val="false"/>
                <w:bCs w:val="false"/>
                <w:color w:val="000000"/>
                <w:sz w:val="17"/>
                <w:szCs w:val="17"/>
              </w:rPr>
              <w:t xml:space="preserve">SNV-SG1 + SVR</w:t>
            </w:r>
          </w:p>
        </w:tc>
        <w:tc>
          <w:tcPr>
            <w:tcW w:type="dxa" w:w="1000"/>
            <w:tcMar>
              <w:top w:type="dxa" w:w="50"/>
              <w:left w:type="dxa" w:w="80"/>
              <w:bottom w:type="dxa" w:w="50"/>
              <w:right w:type="dxa" w:w="80"/>
            </w:tcMar>
          </w:tcPr>
          <w:p>
            <w:r>
              <w:rPr>
                <w:rFonts w:ascii="Arial" w:cs="Arial" w:eastAsia="Arial" w:hAnsi="Arial"/>
                <w:b w:val="false"/>
                <w:bCs w:val="false"/>
                <w:color w:val="000000"/>
                <w:sz w:val="17"/>
                <w:szCs w:val="17"/>
              </w:rPr>
              <w:t xml:space="preserve">0.96</w:t>
            </w:r>
          </w:p>
        </w:tc>
        <w:tc>
          <w:tcPr>
            <w:tcW w:type="dxa" w:w="1300"/>
            <w:tcMar>
              <w:top w:type="dxa" w:w="50"/>
              <w:left w:type="dxa" w:w="80"/>
              <w:bottom w:type="dxa" w:w="50"/>
              <w:right w:type="dxa" w:w="80"/>
            </w:tcMar>
          </w:tcPr>
          <w:p>
            <w:r>
              <w:rPr>
                <w:rFonts w:ascii="Arial" w:cs="Arial" w:eastAsia="Arial" w:hAnsi="Arial"/>
                <w:b w:val="false"/>
                <w:bCs w:val="false"/>
                <w:color w:val="000000"/>
                <w:sz w:val="17"/>
                <w:szCs w:val="17"/>
              </w:rPr>
              <w:t xml:space="preserve">41.7 mg</w:t>
            </w:r>
          </w:p>
        </w:tc>
        <w:tc>
          <w:tcPr>
            <w:tcW w:type="dxa" w:w="1100"/>
            <w:tcMar>
              <w:top w:type="dxa" w:w="50"/>
              <w:left w:type="dxa" w:w="80"/>
              <w:bottom w:type="dxa" w:w="50"/>
              <w:right w:type="dxa" w:w="80"/>
            </w:tcMar>
          </w:tcPr>
          <w:p>
            <w:r>
              <w:rPr>
                <w:rFonts w:ascii="Arial" w:cs="Arial" w:eastAsia="Arial" w:hAnsi="Arial"/>
                <w:b w:val="false"/>
                <w:bCs w:val="false"/>
                <w:color w:val="000000"/>
                <w:sz w:val="17"/>
                <w:szCs w:val="17"/>
              </w:rPr>
              <w:t xml:space="preserve">5.12</w:t>
            </w:r>
          </w:p>
        </w:tc>
      </w:tr>
      <w:tr>
        <w:tc>
          <w:tcPr>
            <w:tcW w:type="dxa" w:w="3200"/>
            <w:tcMar>
              <w:top w:type="dxa" w:w="50"/>
              <w:left w:type="dxa" w:w="80"/>
              <w:bottom w:type="dxa" w:w="50"/>
              <w:right w:type="dxa" w:w="80"/>
            </w:tcMar>
          </w:tcPr>
          <w:p>
            <w:r>
              <w:rPr>
                <w:rFonts w:ascii="Arial" w:cs="Arial" w:eastAsia="Arial" w:hAnsi="Arial"/>
                <w:b w:val="false"/>
                <w:bCs w:val="false"/>
                <w:color w:val="000000"/>
                <w:sz w:val="17"/>
                <w:szCs w:val="17"/>
              </w:rPr>
              <w:t xml:space="preserve">C02 formulation Apr 2024 (21)</w:t>
            </w:r>
          </w:p>
        </w:tc>
        <w:tc>
          <w:tcPr>
            <w:tcW w:type="dxa" w:w="900"/>
            <w:tcMar>
              <w:top w:type="dxa" w:w="50"/>
              <w:left w:type="dxa" w:w="80"/>
              <w:bottom w:type="dxa" w:w="50"/>
              <w:right w:type="dxa" w:w="80"/>
            </w:tcMar>
          </w:tcPr>
          <w:p>
            <w:r>
              <w:rPr>
                <w:rFonts w:ascii="Arial" w:cs="Arial" w:eastAsia="Arial" w:hAnsi="Arial"/>
                <w:b w:val="false"/>
                <w:bCs w:val="false"/>
                <w:color w:val="000000"/>
                <w:sz w:val="17"/>
                <w:szCs w:val="17"/>
              </w:rPr>
              <w:t xml:space="preserve">mg</w:t>
            </w:r>
          </w:p>
        </w:tc>
        <w:tc>
          <w:tcPr>
            <w:tcW w:type="dxa" w:w="2006"/>
            <w:tcMar>
              <w:top w:type="dxa" w:w="50"/>
              <w:left w:type="dxa" w:w="80"/>
              <w:bottom w:type="dxa" w:w="50"/>
              <w:right w:type="dxa" w:w="80"/>
            </w:tcMar>
          </w:tcPr>
          <w:p>
            <w:r>
              <w:rPr>
                <w:rFonts w:ascii="Arial" w:cs="Arial" w:eastAsia="Arial" w:hAnsi="Arial"/>
                <w:b w:val="false"/>
                <w:bCs w:val="false"/>
                <w:color w:val="000000"/>
                <w:sz w:val="17"/>
                <w:szCs w:val="17"/>
              </w:rPr>
              <w:t xml:space="preserve">SNV-SG1 + RF</w:t>
            </w:r>
          </w:p>
        </w:tc>
        <w:tc>
          <w:tcPr>
            <w:tcW w:type="dxa" w:w="1000"/>
            <w:tcMar>
              <w:top w:type="dxa" w:w="50"/>
              <w:left w:type="dxa" w:w="80"/>
              <w:bottom w:type="dxa" w:w="50"/>
              <w:right w:type="dxa" w:w="80"/>
            </w:tcMar>
          </w:tcPr>
          <w:p>
            <w:r>
              <w:rPr>
                <w:rFonts w:ascii="Arial" w:cs="Arial" w:eastAsia="Arial" w:hAnsi="Arial"/>
                <w:b w:val="false"/>
                <w:bCs w:val="false"/>
                <w:color w:val="000000"/>
                <w:sz w:val="17"/>
                <w:szCs w:val="17"/>
              </w:rPr>
              <w:t xml:space="preserve">0.79</w:t>
            </w:r>
          </w:p>
        </w:tc>
        <w:tc>
          <w:tcPr>
            <w:tcW w:type="dxa" w:w="1300"/>
            <w:tcMar>
              <w:top w:type="dxa" w:w="50"/>
              <w:left w:type="dxa" w:w="80"/>
              <w:bottom w:type="dxa" w:w="50"/>
              <w:right w:type="dxa" w:w="80"/>
            </w:tcMar>
          </w:tcPr>
          <w:p>
            <w:r>
              <w:rPr>
                <w:rFonts w:ascii="Arial" w:cs="Arial" w:eastAsia="Arial" w:hAnsi="Arial"/>
                <w:b w:val="false"/>
                <w:bCs w:val="false"/>
                <w:color w:val="000000"/>
                <w:sz w:val="17"/>
                <w:szCs w:val="17"/>
              </w:rPr>
              <w:t xml:space="preserve">27.9 mg</w:t>
            </w:r>
          </w:p>
        </w:tc>
        <w:tc>
          <w:tcPr>
            <w:tcW w:type="dxa" w:w="1100"/>
            <w:tcMar>
              <w:top w:type="dxa" w:w="50"/>
              <w:left w:type="dxa" w:w="80"/>
              <w:bottom w:type="dxa" w:w="50"/>
              <w:right w:type="dxa" w:w="80"/>
            </w:tcMar>
          </w:tcPr>
          <w:p>
            <w:r>
              <w:rPr>
                <w:rFonts w:ascii="Arial" w:cs="Arial" w:eastAsia="Arial" w:hAnsi="Arial"/>
                <w:b w:val="false"/>
                <w:bCs w:val="false"/>
                <w:color w:val="000000"/>
                <w:sz w:val="17"/>
                <w:szCs w:val="17"/>
              </w:rPr>
              <w:t xml:space="preserve">2.22</w:t>
            </w:r>
          </w:p>
        </w:tc>
      </w:tr>
      <w:tr>
        <w:tc>
          <w:tcPr>
            <w:tcW w:type="dxa" w:w="3200"/>
            <w:tcMar>
              <w:top w:type="dxa" w:w="50"/>
              <w:left w:type="dxa" w:w="80"/>
              <w:bottom w:type="dxa" w:w="50"/>
              <w:right w:type="dxa" w:w="80"/>
            </w:tcMar>
          </w:tcPr>
          <w:p>
            <w:r>
              <w:rPr>
                <w:rFonts w:ascii="Arial" w:cs="Arial" w:eastAsia="Arial" w:hAnsi="Arial"/>
                <w:b w:val="false"/>
                <w:bCs w:val="false"/>
                <w:color w:val="000000"/>
                <w:sz w:val="17"/>
                <w:szCs w:val="17"/>
              </w:rPr>
              <w:t xml:space="preserve">C06 Mendine Exp-2 (17)</w:t>
            </w:r>
          </w:p>
        </w:tc>
        <w:tc>
          <w:tcPr>
            <w:tcW w:type="dxa" w:w="900"/>
            <w:tcMar>
              <w:top w:type="dxa" w:w="50"/>
              <w:left w:type="dxa" w:w="80"/>
              <w:bottom w:type="dxa" w:w="50"/>
              <w:right w:type="dxa" w:w="80"/>
            </w:tcMar>
          </w:tcPr>
          <w:p>
            <w:r>
              <w:rPr>
                <w:rFonts w:ascii="Arial" w:cs="Arial" w:eastAsia="Arial" w:hAnsi="Arial"/>
                <w:b w:val="false"/>
                <w:bCs w:val="false"/>
                <w:color w:val="000000"/>
                <w:sz w:val="17"/>
                <w:szCs w:val="17"/>
              </w:rPr>
              <w:t xml:space="preserve">% w/w</w:t>
            </w:r>
          </w:p>
        </w:tc>
        <w:tc>
          <w:tcPr>
            <w:tcW w:type="dxa" w:w="2006"/>
            <w:tcMar>
              <w:top w:type="dxa" w:w="50"/>
              <w:left w:type="dxa" w:w="80"/>
              <w:bottom w:type="dxa" w:w="50"/>
              <w:right w:type="dxa" w:w="80"/>
            </w:tcMar>
          </w:tcPr>
          <w:p>
            <w:r>
              <w:rPr>
                <w:rFonts w:ascii="Arial" w:cs="Arial" w:eastAsia="Arial" w:hAnsi="Arial"/>
                <w:b w:val="false"/>
                <w:bCs w:val="false"/>
                <w:color w:val="000000"/>
                <w:sz w:val="17"/>
                <w:szCs w:val="17"/>
              </w:rPr>
              <w:t xml:space="preserve">SNV + RF</w:t>
            </w:r>
          </w:p>
        </w:tc>
        <w:tc>
          <w:tcPr>
            <w:tcW w:type="dxa" w:w="1000"/>
            <w:tcMar>
              <w:top w:type="dxa" w:w="50"/>
              <w:left w:type="dxa" w:w="80"/>
              <w:bottom w:type="dxa" w:w="50"/>
              <w:right w:type="dxa" w:w="80"/>
            </w:tcMar>
          </w:tcPr>
          <w:p>
            <w:r>
              <w:rPr>
                <w:rFonts w:ascii="Arial" w:cs="Arial" w:eastAsia="Arial" w:hAnsi="Arial"/>
                <w:b w:val="false"/>
                <w:bCs w:val="false"/>
                <w:color w:val="000000"/>
                <w:sz w:val="17"/>
                <w:szCs w:val="17"/>
              </w:rPr>
              <w:t xml:space="preserve">0.65</w:t>
            </w:r>
          </w:p>
        </w:tc>
        <w:tc>
          <w:tcPr>
            <w:tcW w:type="dxa" w:w="1300"/>
            <w:tcMar>
              <w:top w:type="dxa" w:w="50"/>
              <w:left w:type="dxa" w:w="80"/>
              <w:bottom w:type="dxa" w:w="50"/>
              <w:right w:type="dxa" w:w="80"/>
            </w:tcMar>
          </w:tcPr>
          <w:p>
            <w:r>
              <w:rPr>
                <w:rFonts w:ascii="Arial" w:cs="Arial" w:eastAsia="Arial" w:hAnsi="Arial"/>
                <w:b w:val="false"/>
                <w:bCs w:val="false"/>
                <w:color w:val="000000"/>
                <w:sz w:val="17"/>
                <w:szCs w:val="17"/>
              </w:rPr>
              <w:t xml:space="preserve">1.84</w:t>
            </w:r>
          </w:p>
        </w:tc>
        <w:tc>
          <w:tcPr>
            <w:tcW w:type="dxa" w:w="1100"/>
            <w:tcMar>
              <w:top w:type="dxa" w:w="50"/>
              <w:left w:type="dxa" w:w="80"/>
              <w:bottom w:type="dxa" w:w="50"/>
              <w:right w:type="dxa" w:w="80"/>
            </w:tcMar>
          </w:tcPr>
          <w:p>
            <w:r>
              <w:rPr>
                <w:rFonts w:ascii="Arial" w:cs="Arial" w:eastAsia="Arial" w:hAnsi="Arial"/>
                <w:b w:val="false"/>
                <w:bCs w:val="false"/>
                <w:color w:val="000000"/>
                <w:sz w:val="17"/>
                <w:szCs w:val="17"/>
              </w:rPr>
              <w:t xml:space="preserve">1.73</w:t>
            </w:r>
          </w:p>
        </w:tc>
      </w:tr>
    </w:tbl>
    <w:p>
      <w:pPr>
        <w:spacing w:after="80"/>
      </w:pPr>
    </w:p>
    <w:p>
      <w:pPr>
        <w:spacing w:after="120" w:line="276"/>
      </w:pPr>
      <w:r>
        <w:rPr>
          <w:rFonts w:ascii="Arial" w:cs="Arial" w:eastAsia="Arial" w:hAnsi="Arial"/>
          <w:sz w:val="21"/>
          <w:szCs w:val="21"/>
        </w:rPr>
        <w:t xml:space="preserve">The small Mendine set behaves best and is well described by a linear PLSR model. The larger 2026 set is noisier and needs non-linear models. The 2024 formulation models look reasonable relative to their wide dose range, but an error of 30–40 mg per tablet is far from assay quality. The talc-varied Experiment-2 set spans a narrow range and is only weakly predictable.</w:t>
      </w:r>
    </w:p>
    <w:p>
      <w:pPr>
        <w:pStyle w:val="Heading2"/>
      </w:pPr>
      <w:r>
        <w:t xml:space="preserve">4.3 Models do not transfer between collections</w:t>
      </w:r>
    </w:p>
    <w:p>
      <w:pPr>
        <w:spacing w:before="12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3. Error when a model trained on one collection predicts another (PLSR errors above 30 are clipped).</w:t>
      </w:r>
    </w:p>
    <w:p>
      <w:pPr>
        <w:spacing w:after="120" w:line="276"/>
      </w:pPr>
      <w:r>
        <w:rPr>
          <w:rFonts w:ascii="Arial" w:cs="Arial" w:eastAsia="Arial" w:hAnsi="Arial"/>
          <w:sz w:val="21"/>
          <w:szCs w:val="21"/>
        </w:rPr>
        <w:t xml:space="preserve">Within 2026, a model trained on C09 predicts the C10 re-scans with RMSE 3.3–3.4 % label claim (SVR, RF). Across years, errors jump to 12–15 % label claim with systematic bias, and the January 2024 model predicts April 2024 with an error of 49–150 mg. Instrument changes, white-reference handling, lamp condition, humidity and sample packing all shift the spectra between sessions. A pooled model that sees several sessions is more robust, which is why the final model uses all three blend collections.</w:t>
      </w:r>
    </w:p>
    <w:p>
      <w:pPr>
        <w:pStyle w:val="Heading2"/>
      </w:pPr>
      <w:r>
        <w:t xml:space="preserve">4.4 Final screening model</w:t>
      </w:r>
    </w:p>
    <w:p>
      <w:pPr>
        <w:spacing w:after="120" w:line="276"/>
      </w:pPr>
      <w:r>
        <w:rPr>
          <w:rFonts w:ascii="Arial" w:cs="Arial" w:eastAsia="Arial" w:hAnsi="Arial"/>
          <w:sz w:val="21"/>
          <w:szCs w:val="21"/>
        </w:rPr>
        <w:t xml:space="preserve">The released model averages SVR and random forest on SNV + first-derivative spectra, trained on 1,492 scans from 82 samples (C05, C07, C09). Its 5-fold sample-grouped result is R² 0.83, RMSE 4.84 % label claim, RPD 2.48 and bias +0.24 (Figure 4). By collection, RMSE was 5.1 for C09, 3.2 for C05 and 5.9 for the narrow-range C07 set. On the 13 C10 re-scanned powders it gave RMSE 3.5 % label claim and bias +1.2; the largest miss was the 120 % sample, predicted at 112 %.</w:t>
      </w:r>
    </w:p>
    <w:p>
      <w:pPr>
        <w:spacing w:before="120"/>
        <w:jc w:val="center"/>
      </w:pPr>
      <w:r>
        <w:drawing>
          <wp:inline distT="0" distB="0" distL="0" distR="0">
            <wp:extent cx="3619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305175"/>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4. Predicted versus weighed-in label claim for 82 held-out samples. Green band: 95–105 %; orange bands: borderline zones; dotted lines: ±5 %.</w:t>
      </w:r>
    </w:p>
    <w:p>
      <w:pPr>
        <w:spacing w:after="120" w:line="276"/>
      </w:pPr>
      <w:r>
        <w:rPr>
          <w:rFonts w:ascii="Arial" w:cs="Arial" w:eastAsia="Arial" w:hAnsi="Arial"/>
          <w:sz w:val="21"/>
          <w:szCs w:val="21"/>
        </w:rPr>
        <w:t xml:space="preserve">For screening, results are placed in bands: LOW below 85 %, WITHIN RANGE 95–105 %, HIGH above 115 %, and BORDERLINE (confirm by HPLC) in between. Figure 5 shows the outcome. No HIGH sample was called WITHIN RANGE, one LOW sample was called WITHIN RANGE, and most errors fell into the BORDERLINE zone, which routes the sample to HPLC. Seven HIGH samples were called BORDERLINE, which is a safe but inefficient outcome.</w:t>
      </w:r>
    </w:p>
    <w:p>
      <w:pPr>
        <w:spacing w:before="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5. Screening verdict against the true band for the 82 held-out samples.</w:t>
      </w:r>
    </w:p>
    <w:p>
      <w:pPr>
        <w:pStyle w:val="Heading2"/>
      </w:pPr>
      <w:r>
        <w:t xml:space="preserve">4.5 Applicability domain and identity</w:t>
      </w:r>
    </w:p>
    <w:p>
      <w:pPr>
        <w:spacing w:after="120" w:line="276"/>
      </w:pPr>
      <w:r>
        <w:rPr>
          <w:rFonts w:ascii="Arial" w:cs="Arial" w:eastAsia="Arial" w:hAnsi="Arial"/>
          <w:sz w:val="21"/>
          <w:szCs w:val="21"/>
        </w:rPr>
        <w:t xml:space="preserve">Each scan is compared with the calibration set using a 10-component PCA: Hotelling T² measures how unusual a scan is within the model space, and the Q residual measures what the model cannot describe. Limits are the 99th percentiles of the calibration scans. A sample receives a verdict only if at least half its scans pass and its SNV spectrum correlates at least 0.95 with the calibration mean.</w:t>
      </w:r>
    </w:p>
    <w:p>
      <w:pPr>
        <w:spacing w:before="12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048000"/>
                    </a:xfrm>
                    <a:prstGeom prst="rect">
                      <a:avLst/>
                    </a:prstGeom>
                  </pic:spPr>
                </pic:pic>
              </a:graphicData>
            </a:graphic>
          </wp:inline>
        </w:drawing>
      </w:r>
    </w:p>
    <w:p>
      <w:pPr>
        <w:spacing w:after="200"/>
        <w:jc w:val="center"/>
      </w:pPr>
      <w:r>
        <w:rPr>
          <w:rFonts w:ascii="Arial" w:cs="Arial" w:eastAsia="Arial" w:hAnsi="Arial"/>
          <w:i/>
          <w:iCs/>
          <w:color w:val="555555"/>
          <w:sz w:val="17"/>
          <w:szCs w:val="17"/>
        </w:rPr>
        <w:t xml:space="preserve">Figure 6. T² and Q for calibration scans, re-scans, the talc-varied set and the 2024 formulations. Dashed lines mark the 99 % limits.</w:t>
      </w:r>
    </w:p>
    <w:p>
      <w:pPr>
        <w:spacing w:after="120" w:line="276"/>
      </w:pPr>
      <w:r>
        <w:rPr>
          <w:rFonts w:ascii="Arial" w:cs="Arial" w:eastAsia="Arial" w:hAnsi="Arial"/>
          <w:sz w:val="21"/>
          <w:szCs w:val="21"/>
        </w:rPr>
        <w:t xml:space="preserve">All 62 formulation samples (C01, C02), the three field-test samples, the IPRS standard, pure paracetamol and pure talc were flagged out of domain. Pure talc was the clearest case (correlation −0.36). Most talc-varied Experiment-2 samples fell inside the domain, as expected for the same two components. A dedicated identity test (for example, correlation against the IPRS spectrum) would need its own acceptance limit, because pure paracetamol and the blends both correlate above 0.9 with the standard.</w:t>
      </w:r>
    </w:p>
    <w:p>
      <w:pPr>
        <w:pStyle w:val="Heading1"/>
      </w:pPr>
      <w:r>
        <w:t xml:space="preserve">5. Re-analysis of the Mendine Experiment-1 accuracy report</w:t>
      </w:r>
    </w:p>
    <w:p>
      <w:pPr>
        <w:spacing w:after="120" w:line="276"/>
      </w:pPr>
      <w:r>
        <w:rPr>
          <w:rFonts w:ascii="Arial" w:cs="Arial" w:eastAsia="Arial" w:hAnsi="Arial"/>
          <w:sz w:val="21"/>
          <w:szCs w:val="21"/>
        </w:rPr>
        <w:t xml:space="preserve">The May 2025 report calculated % recovery as NIR estimate divided by spiked value, but its "true value" was itself the mean NIR prediction over 14–16 May. Using the four NIR runs in the prediction-result workbook against the weighed-in compositions gives the following:</w:t>
      </w:r>
    </w:p>
    <w:p>
      <w:pPr>
        <w:pStyle w:val="ListParagraph"/>
        <w:numPr>
          <w:ilvl w:val="0"/>
          <w:numId w:val="2"/>
        </w:numPr>
        <w:spacing w:after="80" w:line="276"/>
      </w:pPr>
      <w:r>
        <w:rPr>
          <w:rFonts w:ascii="Arial" w:cs="Arial" w:eastAsia="Arial" w:hAnsi="Arial"/>
          <w:sz w:val="21"/>
          <w:szCs w:val="21"/>
        </w:rPr>
        <w:t xml:space="preserve">Recovery 96.4–103.5 % (mean 100.1 %), inside the 90–110 % limit quoted in the report.</w:t>
      </w:r>
    </w:p>
    <w:p>
      <w:pPr>
        <w:pStyle w:val="ListParagraph"/>
        <w:numPr>
          <w:ilvl w:val="0"/>
          <w:numId w:val="2"/>
        </w:numPr>
        <w:spacing w:after="80" w:line="276"/>
      </w:pPr>
      <w:r>
        <w:rPr>
          <w:rFonts w:ascii="Arial" w:cs="Arial" w:eastAsia="Arial" w:hAnsi="Arial"/>
          <w:sz w:val="21"/>
          <w:szCs w:val="21"/>
        </w:rPr>
        <w:t xml:space="preserve">RMSEP 0.83–0.97 % w/w per day, 0.88 % w/w overall (about 3.5 % label claim); R² 0.94 for the four-run mean.</w:t>
      </w:r>
    </w:p>
    <w:p>
      <w:pPr>
        <w:pStyle w:val="ListParagraph"/>
        <w:numPr>
          <w:ilvl w:val="0"/>
          <w:numId w:val="2"/>
        </w:numPr>
        <w:spacing w:after="80" w:line="276"/>
      </w:pPr>
      <w:r>
        <w:rPr>
          <w:rFonts w:ascii="Arial" w:cs="Arial" w:eastAsia="Arial" w:hAnsi="Arial"/>
          <w:sz w:val="21"/>
          <w:szCs w:val="21"/>
        </w:rPr>
        <w:t xml:space="preserve">Between-day RSD of the NIR result: median 0.64 %, maximum 2.44 %.</w:t>
      </w:r>
    </w:p>
    <w:p>
      <w:pPr>
        <w:spacing w:after="120" w:line="276"/>
      </w:pPr>
      <w:r>
        <w:rPr>
          <w:rFonts w:ascii="Arial" w:cs="Arial" w:eastAsia="Arial" w:hAnsi="Arial"/>
          <w:sz w:val="21"/>
          <w:szCs w:val="21"/>
        </w:rPr>
        <w:t xml:space="preserve">These figures support the report's conclusion but should replace its recovery column. It is not documented whether the prediction model used at Mendine was trained on the same 17 blends. If it was, these values are optimistic; the grouped cross-validation above (RMSE 2.9–3.6 % label claim for C05) suggests the true figure is similar.</w:t>
      </w:r>
    </w:p>
    <w:p>
      <w:pPr>
        <w:pStyle w:val="Heading1"/>
      </w:pPr>
      <w:r>
        <w:t xml:space="preserve">6. Intended use</w:t>
      </w:r>
    </w:p>
    <w:p>
      <w:pPr>
        <w:spacing w:after="120" w:line="276"/>
      </w:pPr>
      <w:r>
        <w:rPr>
          <w:rFonts w:ascii="Arial" w:cs="Arial" w:eastAsia="Arial" w:hAnsi="Arial"/>
          <w:sz w:val="21"/>
          <w:szCs w:val="21"/>
        </w:rPr>
        <w:t xml:space="preserve">The model is a screening tool for paracetamol–talc blends scanned on the METASPEQ 892–1710 nm module. It sorts samples into bands and flags anything unlike its calibration set. It is not a quantitative assay, it does not replace the pharmacopoeial HPLC method, and its output must not be used for batch release. Formulations with other excipients are outside its scope.</w:t>
      </w:r>
    </w:p>
    <w:p>
      <w:pPr>
        <w:pStyle w:val="Heading1"/>
      </w:pPr>
      <w:r>
        <w:t xml:space="preserve">7. Recommendations</w:t>
      </w:r>
    </w:p>
    <w:p>
      <w:pPr>
        <w:pStyle w:val="ListParagraph"/>
        <w:numPr>
          <w:ilvl w:val="0"/>
          <w:numId w:val="2"/>
        </w:numPr>
        <w:spacing w:after="80" w:line="276"/>
      </w:pPr>
      <w:r>
        <w:rPr>
          <w:rFonts w:ascii="Arial" w:cs="Arial" w:eastAsia="Arial" w:hAnsi="Arial"/>
          <w:b/>
          <w:bCs/>
          <w:sz w:val="21"/>
          <w:szCs w:val="21"/>
        </w:rPr>
        <w:t xml:space="preserve">Adopt sample-grouped validation as the house standard. </w:t>
      </w:r>
      <w:r>
        <w:rPr>
          <w:rFonts w:ascii="Arial" w:cs="Arial" w:eastAsia="Arial" w:hAnsi="Arial"/>
          <w:sz w:val="21"/>
          <w:szCs w:val="21"/>
        </w:rPr>
        <w:t xml:space="preserve">Retire the random scan split from all reports and from Spectrafind model ranking.</w:t>
      </w:r>
    </w:p>
    <w:p>
      <w:pPr>
        <w:pStyle w:val="ListParagraph"/>
        <w:numPr>
          <w:ilvl w:val="0"/>
          <w:numId w:val="2"/>
        </w:numPr>
        <w:spacing w:after="80" w:line="276"/>
      </w:pPr>
      <w:r>
        <w:rPr>
          <w:rFonts w:ascii="Arial" w:cs="Arial" w:eastAsia="Arial" w:hAnsi="Arial"/>
          <w:b/>
          <w:bCs/>
          <w:sz w:val="21"/>
          <w:szCs w:val="21"/>
        </w:rPr>
        <w:t xml:space="preserve">Randomise scan order and record conditions. </w:t>
      </w:r>
      <w:r>
        <w:rPr>
          <w:rFonts w:ascii="Arial" w:cs="Arial" w:eastAsia="Arial" w:hAnsi="Arial"/>
          <w:sz w:val="21"/>
          <w:szCs w:val="21"/>
        </w:rPr>
        <w:t xml:space="preserve">Scan samples in random order, log temperature, humidity, white-reference time and lamp warm-up, and store dark and white spectra with every scan.</w:t>
      </w:r>
    </w:p>
    <w:p>
      <w:pPr>
        <w:pStyle w:val="ListParagraph"/>
        <w:numPr>
          <w:ilvl w:val="0"/>
          <w:numId w:val="2"/>
        </w:numPr>
        <w:spacing w:after="80" w:line="276"/>
      </w:pPr>
      <w:r>
        <w:rPr>
          <w:rFonts w:ascii="Arial" w:cs="Arial" w:eastAsia="Arial" w:hAnsi="Arial"/>
          <w:b/>
          <w:bCs/>
          <w:sz w:val="21"/>
          <w:szCs w:val="21"/>
        </w:rPr>
        <w:t xml:space="preserve">Prepare genuinely independent validation blends. </w:t>
      </w:r>
      <w:r>
        <w:rPr>
          <w:rFonts w:ascii="Arial" w:cs="Arial" w:eastAsia="Arial" w:hAnsi="Arial"/>
          <w:sz w:val="21"/>
          <w:szCs w:val="21"/>
        </w:rPr>
        <w:t xml:space="preserve">Weigh 15–20 new blends on a different day (and ideally by a different analyst) and keep them out of training.</w:t>
      </w:r>
    </w:p>
    <w:p>
      <w:pPr>
        <w:pStyle w:val="ListParagraph"/>
        <w:numPr>
          <w:ilvl w:val="0"/>
          <w:numId w:val="2"/>
        </w:numPr>
        <w:spacing w:after="80" w:line="276"/>
      </w:pPr>
      <w:r>
        <w:rPr>
          <w:rFonts w:ascii="Arial" w:cs="Arial" w:eastAsia="Arial" w:hAnsi="Arial"/>
          <w:b/>
          <w:bCs/>
          <w:sz w:val="21"/>
          <w:szCs w:val="21"/>
        </w:rPr>
        <w:t xml:space="preserve">Add HPLC on a subset. </w:t>
      </w:r>
      <w:r>
        <w:rPr>
          <w:rFonts w:ascii="Arial" w:cs="Arial" w:eastAsia="Arial" w:hAnsi="Arial"/>
          <w:sz w:val="21"/>
          <w:szCs w:val="21"/>
        </w:rPr>
        <w:t xml:space="preserve">Assaying 15–20 blends would separate weighing and mixing error from NIR error.</w:t>
      </w:r>
    </w:p>
    <w:p>
      <w:pPr>
        <w:pStyle w:val="ListParagraph"/>
        <w:numPr>
          <w:ilvl w:val="0"/>
          <w:numId w:val="2"/>
        </w:numPr>
        <w:spacing w:after="80" w:line="276"/>
      </w:pPr>
      <w:r>
        <w:rPr>
          <w:rFonts w:ascii="Arial" w:cs="Arial" w:eastAsia="Arial" w:hAnsi="Arial"/>
          <w:b/>
          <w:bCs/>
          <w:sz w:val="21"/>
          <w:szCs w:val="21"/>
        </w:rPr>
        <w:t xml:space="preserve">Plan calibration maintenance. </w:t>
      </w:r>
      <w:r>
        <w:rPr>
          <w:rFonts w:ascii="Arial" w:cs="Arial" w:eastAsia="Arial" w:hAnsi="Arial"/>
          <w:sz w:val="21"/>
          <w:szCs w:val="21"/>
        </w:rPr>
        <w:t xml:space="preserve">Include a few blends and the IPRS standard in every session so that drift can be corrected (slope/bias update or piecewise direct standardisation) instead of rebuilding models.</w:t>
      </w:r>
    </w:p>
    <w:p>
      <w:pPr>
        <w:pStyle w:val="ListParagraph"/>
        <w:numPr>
          <w:ilvl w:val="0"/>
          <w:numId w:val="2"/>
        </w:numPr>
        <w:spacing w:after="80" w:line="276"/>
      </w:pPr>
      <w:r>
        <w:rPr>
          <w:rFonts w:ascii="Arial" w:cs="Arial" w:eastAsia="Arial" w:hAnsi="Arial"/>
          <w:b/>
          <w:bCs/>
          <w:sz w:val="21"/>
          <w:szCs w:val="21"/>
        </w:rPr>
        <w:t xml:space="preserve">Restart formulation work with documented recipes. </w:t>
      </w:r>
      <w:r>
        <w:rPr>
          <w:rFonts w:ascii="Arial" w:cs="Arial" w:eastAsia="Arial" w:hAnsi="Arial"/>
          <w:sz w:val="21"/>
          <w:szCs w:val="21"/>
        </w:rPr>
        <w:t xml:space="preserve">Include excipient variation and a random scan order before attempting dose prediction in tablets again.</w:t>
      </w:r>
    </w:p>
    <w:p>
      <w:pPr>
        <w:pStyle w:val="ListParagraph"/>
        <w:numPr>
          <w:ilvl w:val="0"/>
          <w:numId w:val="2"/>
        </w:numPr>
        <w:spacing w:after="80" w:line="276"/>
      </w:pPr>
      <w:r>
        <w:rPr>
          <w:rFonts w:ascii="Arial" w:cs="Arial" w:eastAsia="Arial" w:hAnsi="Arial"/>
          <w:b/>
          <w:bCs/>
          <w:sz w:val="21"/>
          <w:szCs w:val="21"/>
        </w:rPr>
        <w:t xml:space="preserve">Service the optics. </w:t>
      </w:r>
      <w:r>
        <w:rPr>
          <w:rFonts w:ascii="Arial" w:cs="Arial" w:eastAsia="Arial" w:hAnsi="Arial"/>
          <w:sz w:val="21"/>
          <w:szCs w:val="21"/>
        </w:rPr>
        <w:t xml:space="preserve">Investigate the 1390 nm spike and the noisy region below 950 nm.</w:t>
      </w:r>
    </w:p>
    <w:p>
      <w:pPr>
        <w:pStyle w:val="Heading1"/>
      </w:pPr>
      <w:r>
        <w:t xml:space="preserve">8. Conclusion</w:t>
      </w:r>
    </w:p>
    <w:p>
      <w:pPr>
        <w:spacing w:after="120" w:line="276"/>
      </w:pPr>
      <w:r>
        <w:rPr>
          <w:rFonts w:ascii="Arial" w:cs="Arial" w:eastAsia="Arial" w:hAnsi="Arial"/>
          <w:sz w:val="21"/>
          <w:szCs w:val="21"/>
        </w:rPr>
        <w:t xml:space="preserve">NIR carries real information about paracetamol content in talc blends. A pooled model predicts new powders within about 5 % label claim and reliably flags materials it was not built for. That supports a screening role with an HPLC confirmation route, not an assay claim. The largest gains will come from better experimental design (independent validation sets, random scan order, stored reference spectra and a calibration-maintenance routine) rather than from new algorithms.</w:t>
      </w:r>
    </w:p>
    <w:p>
      <w:pPr>
        <w:pStyle w:val="Heading1"/>
      </w:pPr>
      <w:r>
        <w:t xml:space="preserve">Appendix: deliverables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rPr>
          <w:tblHeader/>
        </w:trPr>
        <w:tc>
          <w:tcPr>
            <w:tcW w:type="dxa" w:w="3800"/>
            <w:shd w:fill="2F6F8F" w:color="auto" w:val="clear"/>
            <w:tcMar>
              <w:top w:type="dxa" w:w="50"/>
              <w:left w:type="dxa" w:w="80"/>
              <w:bottom w:type="dxa" w:w="50"/>
              <w:right w:type="dxa" w:w="80"/>
            </w:tcMar>
          </w:tcPr>
          <w:p>
            <w:r>
              <w:rPr>
                <w:rFonts w:ascii="Arial" w:cs="Arial" w:eastAsia="Arial" w:hAnsi="Arial"/>
                <w:b/>
                <w:bCs/>
                <w:color w:val="FFFFFF"/>
                <w:sz w:val="17"/>
                <w:szCs w:val="17"/>
              </w:rPr>
              <w:t xml:space="preserve">Item</w:t>
            </w:r>
          </w:p>
        </w:tc>
        <w:tc>
          <w:tcPr>
            <w:tcW w:type="dxa" w:w="5706"/>
            <w:shd w:fill="2F6F8F" w:color="auto" w:val="clear"/>
            <w:tcMar>
              <w:top w:type="dxa" w:w="50"/>
              <w:left w:type="dxa" w:w="80"/>
              <w:bottom w:type="dxa" w:w="50"/>
              <w:right w:type="dxa" w:w="80"/>
            </w:tcMar>
          </w:tcPr>
          <w:p>
            <w:r>
              <w:rPr>
                <w:rFonts w:ascii="Arial" w:cs="Arial" w:eastAsia="Arial" w:hAnsi="Arial"/>
                <w:b/>
                <w:bCs/>
                <w:color w:val="FFFFFF"/>
                <w:sz w:val="17"/>
                <w:szCs w:val="17"/>
              </w:rPr>
              <w:t xml:space="preserve">Content</w:t>
            </w:r>
          </w:p>
        </w:tc>
      </w:tr>
      <w:tr>
        <w:tc>
          <w:tcPr>
            <w:tcW w:type="dxa" w:w="3800"/>
            <w:tcMar>
              <w:top w:type="dxa" w:w="50"/>
              <w:left w:type="dxa" w:w="80"/>
              <w:bottom w:type="dxa" w:w="50"/>
              <w:right w:type="dxa" w:w="80"/>
            </w:tcMar>
          </w:tcPr>
          <w:p>
            <w:r>
              <w:rPr>
                <w:rFonts w:ascii="Arial" w:cs="Arial" w:eastAsia="Arial" w:hAnsi="Arial"/>
                <w:b w:val="false"/>
                <w:bCs w:val="false"/>
                <w:color w:val="000000"/>
                <w:sz w:val="17"/>
                <w:szCs w:val="17"/>
              </w:rPr>
              <w:t xml:space="preserve">Paracetamol_NIR_Master_Raw_Spectra.xlsx</w:t>
            </w:r>
          </w:p>
        </w:tc>
        <w:tc>
          <w:tcPr>
            <w:tcW w:type="dxa" w:w="5706"/>
            <w:tcMar>
              <w:top w:type="dxa" w:w="50"/>
              <w:left w:type="dxa" w:w="80"/>
              <w:bottom w:type="dxa" w:w="50"/>
              <w:right w:type="dxa" w:w="80"/>
            </w:tcMar>
          </w:tcPr>
          <w:p>
            <w:r>
              <w:rPr>
                <w:rFonts w:ascii="Arial" w:cs="Arial" w:eastAsia="Arial" w:hAnsi="Arial"/>
                <w:b w:val="false"/>
                <w:bCs w:val="false"/>
                <w:color w:val="000000"/>
                <w:sz w:val="17"/>
                <w:szCs w:val="17"/>
              </w:rPr>
              <w:t xml:space="preserve">All 3,343 scans with metadata, raw detector counts, dark and white references, sample register, column dictionary</w:t>
            </w:r>
          </w:p>
        </w:tc>
      </w:tr>
      <w:tr>
        <w:tc>
          <w:tcPr>
            <w:tcW w:type="dxa" w:w="3800"/>
            <w:tcMar>
              <w:top w:type="dxa" w:w="50"/>
              <w:left w:type="dxa" w:w="80"/>
              <w:bottom w:type="dxa" w:w="50"/>
              <w:right w:type="dxa" w:w="80"/>
            </w:tcMar>
          </w:tcPr>
          <w:p>
            <w:r>
              <w:rPr>
                <w:rFonts w:ascii="Arial" w:cs="Arial" w:eastAsia="Arial" w:hAnsi="Arial"/>
                <w:b w:val="false"/>
                <w:bCs w:val="false"/>
                <w:color w:val="000000"/>
                <w:sz w:val="17"/>
                <w:szCs w:val="17"/>
              </w:rPr>
              <w:t xml:space="preserve">paracetamol-nir-screening (GitHub)</w:t>
            </w:r>
          </w:p>
        </w:tc>
        <w:tc>
          <w:tcPr>
            <w:tcW w:type="dxa" w:w="5706"/>
            <w:tcMar>
              <w:top w:type="dxa" w:w="50"/>
              <w:left w:type="dxa" w:w="80"/>
              <w:bottom w:type="dxa" w:w="50"/>
              <w:right w:type="dxa" w:w="80"/>
            </w:tcMar>
          </w:tcPr>
          <w:p>
            <w:r>
              <w:rPr>
                <w:rFonts w:ascii="Arial" w:cs="Arial" w:eastAsia="Arial" w:hAnsi="Arial"/>
                <w:b w:val="false"/>
                <w:bCs w:val="false"/>
                <w:color w:val="000000"/>
                <w:sz w:val="17"/>
                <w:szCs w:val="17"/>
              </w:rPr>
              <w:t xml:space="preserve">Master-file builder, benchmarking, training, CLI prediction, Streamlit app, model card, figures and result tables</w:t>
            </w:r>
          </w:p>
        </w:tc>
      </w:tr>
      <w:tr>
        <w:tc>
          <w:tcPr>
            <w:tcW w:type="dxa" w:w="3800"/>
            <w:tcMar>
              <w:top w:type="dxa" w:w="50"/>
              <w:left w:type="dxa" w:w="80"/>
              <w:bottom w:type="dxa" w:w="50"/>
              <w:right w:type="dxa" w:w="80"/>
            </w:tcMar>
          </w:tcPr>
          <w:p>
            <w:r>
              <w:rPr>
                <w:rFonts w:ascii="Arial" w:cs="Arial" w:eastAsia="Arial" w:hAnsi="Arial"/>
                <w:b w:val="false"/>
                <w:bCs w:val="false"/>
                <w:color w:val="000000"/>
                <w:sz w:val="17"/>
                <w:szCs w:val="17"/>
              </w:rPr>
              <w:t xml:space="preserve">models/paracetamol_blend_screening_model.joblib</w:t>
            </w:r>
          </w:p>
        </w:tc>
        <w:tc>
          <w:tcPr>
            <w:tcW w:type="dxa" w:w="5706"/>
            <w:tcMar>
              <w:top w:type="dxa" w:w="50"/>
              <w:left w:type="dxa" w:w="80"/>
              <w:bottom w:type="dxa" w:w="50"/>
              <w:right w:type="dxa" w:w="80"/>
            </w:tcMar>
          </w:tcPr>
          <w:p>
            <w:r>
              <w:rPr>
                <w:rFonts w:ascii="Arial" w:cs="Arial" w:eastAsia="Arial" w:hAnsi="Arial"/>
                <w:b w:val="false"/>
                <w:bCs w:val="false"/>
                <w:color w:val="000000"/>
                <w:sz w:val="17"/>
                <w:szCs w:val="17"/>
              </w:rPr>
              <w:t xml:space="preserve">Final SVR + RF ensemble with domain limits (scikit-learn 1.8.0, Python 3.12)</w:t>
            </w:r>
          </w:p>
        </w:tc>
      </w:tr>
    </w:tbl>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Paracetamol NIR screening white paper  |  METASPEQ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F6F8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95e96a8965c10ac00e84e38d5677fcb43c32bb.png"/><Relationship Id="rId9" Type="http://schemas.openxmlformats.org/officeDocument/2006/relationships/image" Target="media/5deb9678c8ac37ce2186f682b2ca143193b8757c.png"/><Relationship Id="rId10" Type="http://schemas.openxmlformats.org/officeDocument/2006/relationships/image" Target="media/9df7c99d2a0a6df98a1afe9f0d2d69c19a13c4d4.png"/><Relationship Id="rId11" Type="http://schemas.openxmlformats.org/officeDocument/2006/relationships/image" Target="media/f64af26897d48f9b0ae8f5ed1e2e5a3d3e485afd.png"/><Relationship Id="rId12" Type="http://schemas.openxmlformats.org/officeDocument/2006/relationships/image" Target="media/3d8f5ce20c6abe0cb59e18d42af7dbef24f6fed0.png"/><Relationship Id="rId13" Type="http://schemas.openxmlformats.org/officeDocument/2006/relationships/image" Target="media/34f07108625738f6fc206ba57d2376e9d1c28b7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2026-09-17T10:48:13.092Z</dcterms:created>
  <dcterms:modified xsi:type="dcterms:W3CDTF">2026-09-17T10:48:13.102Z</dcterms:modified>
</cp:coreProperties>
</file>

<file path=docProps/custom.xml><?xml version="1.0" encoding="utf-8"?>
<Properties xmlns="http://schemas.openxmlformats.org/officeDocument/2006/custom-properties" xmlns:vt="http://schemas.openxmlformats.org/officeDocument/2006/docPropsVTypes"/>
</file>