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C2731"/>
          <w:sz w:val="46"/>
        </w:rPr>
        <w:t>MANUSCRIPT CHANGE MAP</w:t>
      </w:r>
    </w:p>
    <w:p>
      <w:pPr>
        <w:spacing w:after="240"/>
      </w:pPr>
      <w:r>
        <w:rPr>
          <w:rFonts w:ascii="Calibri" w:hAnsi="Calibri"/>
          <w:color w:val="5A626A"/>
          <w:sz w:val="28"/>
        </w:rPr>
        <w:t>Exact revisions and response material for R2, R3 and R22</w:t>
      </w:r>
    </w:p>
    <w:tbl>
      <w:tblPr>
        <w:tblW w:type="dxa" w:w="9360"/>
        <w:jc w:val="left"/>
        <w:tblLayout w:type="fixed"/>
        <w:tblLook w:firstColumn="1" w:firstRow="1" w:lastColumn="0" w:lastRow="0" w:noHBand="0" w:noVBand="1" w:val="04A0"/>
        <w:tblInd w:type="dxa" w:w="120"/>
      </w:tblPr>
      <w:tblGrid>
        <w:gridCol w:w="1700"/>
        <w:gridCol w:w="7660"/>
      </w:tblGrid>
      <w:tr>
        <w:trPr>
          <w:tblHeader w:val="true"/>
        </w:trPr>
        <w:tc>
          <w:tcPr>
            <w:tcW w:type="dxa" w:w="1700"/>
            <w:vAlign w:val="top"/>
            <w:tcMar>
              <w:top w:w="80" w:type="dxa"/>
              <w:bottom w:w="80" w:type="dxa"/>
              <w:start w:w="120" w:type="dxa"/>
              <w:end w:w="120" w:type="dxa"/>
            </w:tcMar>
            <w:shd w:fill="E8EEF5"/>
          </w:tcPr>
          <w:p>
            <w:r>
              <w:rPr>
                <w:b/>
              </w:rPr>
              <w:t>Source</w:t>
            </w:r>
          </w:p>
        </w:tc>
        <w:tc>
          <w:tcPr>
            <w:tcW w:type="dxa" w:w="7660"/>
            <w:vAlign w:val="top"/>
            <w:tcMar>
              <w:top w:w="80" w:type="dxa"/>
              <w:bottom w:w="80" w:type="dxa"/>
              <w:start w:w="120" w:type="dxa"/>
              <w:end w:w="120" w:type="dxa"/>
            </w:tcMar>
          </w:tcPr>
          <w:p>
            <w:r>
              <w:t>Current rev.tex and rendered Different_meta_analyses_2.pdf</w:t>
            </w:r>
          </w:p>
        </w:tc>
      </w:tr>
      <w:tr>
        <w:tc>
          <w:tcPr>
            <w:tcW w:type="dxa" w:w="1700"/>
            <w:vAlign w:val="top"/>
            <w:tcMar>
              <w:top w:w="80" w:type="dxa"/>
              <w:bottom w:w="80" w:type="dxa"/>
              <w:start w:w="120" w:type="dxa"/>
              <w:end w:w="120" w:type="dxa"/>
            </w:tcMar>
            <w:shd w:fill="E8EEF5"/>
          </w:tcPr>
          <w:p>
            <w:r>
              <w:rPr>
                <w:b/>
              </w:rPr>
              <w:t>Status</w:t>
            </w:r>
          </w:p>
        </w:tc>
        <w:tc>
          <w:tcPr>
            <w:tcW w:type="dxa" w:w="7660"/>
            <w:vAlign w:val="top"/>
            <w:tcMar>
              <w:top w:w="80" w:type="dxa"/>
              <w:bottom w:w="80" w:type="dxa"/>
              <w:start w:w="120" w:type="dxa"/>
              <w:end w:w="120" w:type="dxa"/>
            </w:tcMar>
          </w:tcPr>
          <w:p>
            <w:r>
              <w:t>Draft for author review; no manuscript or response-letter source has been edited</w:t>
            </w:r>
          </w:p>
        </w:tc>
      </w:tr>
      <w:tr>
        <w:tc>
          <w:tcPr>
            <w:tcW w:type="dxa" w:w="1700"/>
            <w:vAlign w:val="top"/>
            <w:tcMar>
              <w:top w:w="80" w:type="dxa"/>
              <w:bottom w:w="80" w:type="dxa"/>
              <w:start w:w="120" w:type="dxa"/>
              <w:end w:w="120" w:type="dxa"/>
            </w:tcMar>
            <w:shd w:fill="E8EEF5"/>
          </w:tcPr>
          <w:p>
            <w:r>
              <w:rPr>
                <w:b/>
              </w:rPr>
              <w:t>Strategy</w:t>
            </w:r>
          </w:p>
        </w:tc>
        <w:tc>
          <w:tcPr>
            <w:tcW w:type="dxa" w:w="7660"/>
            <w:vAlign w:val="top"/>
            <w:tcMar>
              <w:top w:w="80" w:type="dxa"/>
              <w:bottom w:w="80" w:type="dxa"/>
              <w:start w:w="120" w:type="dxa"/>
              <w:end w:w="120" w:type="dxa"/>
            </w:tcMar>
          </w:tcPr>
          <w:p>
            <w:r>
              <w:t>Extend the location–scale framework in Box 3; make surgical sentence substitutions; retain the four-analysis structure</w:t>
            </w:r>
          </w:p>
        </w:tc>
      </w:tr>
    </w:tbl>
    <w:p>
      <w:pPr>
        <w:pStyle w:val="Heading1"/>
      </w:pPr>
      <w:r>
        <w:t>Decision in one minute</w:t>
      </w:r>
    </w:p>
    <w:p>
      <w:r>
        <w:rPr>
          <w:b/>
        </w:rPr>
        <w:t xml:space="preserve">R2: </w:t>
      </w:r>
      <w:r>
        <w:t>Accept and extend. The original scale model concerns residual heterogeneity; the new Box adds a separate between-study scale sub-model and asks where moderator-dependent heterogeneity occurs.</w:t>
      </w:r>
    </w:p>
    <w:p>
      <w:r>
        <w:rPr>
          <w:b/>
        </w:rPr>
        <w:t xml:space="preserve">R3: </w:t>
      </w:r>
      <w:r>
        <w:t>Accept. Replace crop-specific ‘stability’ claims with ‘within-group yield variability’ because the source SDs are not established as temporal measures.</w:t>
      </w:r>
    </w:p>
    <w:p>
      <w:r>
        <w:rPr>
          <w:b/>
        </w:rPr>
        <w:t xml:space="preserve">R22: </w:t>
      </w:r>
      <w:r>
        <w:t>Accept with a bounded scope paragraph. The full four-way split needs a variance-side effect size; ORs and correlations/Fisher’s z can use multilevel location/heterogeneity models but do not supply that split by themselves.</w:t>
      </w:r>
    </w:p>
    <w:p>
      <w:pPr>
        <w:pStyle w:val="Heading1"/>
      </w:pPr>
      <w:r>
        <w:t>R2 — Residual versus study-level heterogeneity</w:t>
      </w:r>
    </w:p>
    <w:p>
      <w:pPr>
        <w:keepLines/>
      </w:pPr>
      <w:r>
        <w:rPr>
          <w:b/>
          <w:color w:val="1F4D78"/>
        </w:rPr>
        <w:t xml:space="preserve">REVIEWER COMMENT — </w:t>
      </w:r>
      <w:r>
        <w:t>The current model lets residual variation among effect sizes within studies depend on the moderator, but the manuscript sometimes treats this as changing between-study heterogeneity and uses it to claim transferability. The reviewer asks us either to model study-level heterogeneity or constrain the wording, and to explain how both variance levels enter predictions for a new study.</w:t>
      </w:r>
    </w:p>
    <w:p>
      <w:pPr>
        <w:pStyle w:val="Heading2"/>
      </w:pPr>
      <w:r>
        <w:t>Proposed response to R2</w:t>
      </w:r>
    </w:p>
    <w:p>
      <w:r>
        <w:t>We thank the reviewer for identifying this important distinction. They are correct that the scale sub-model in our original analysis allowed residual heterogeneity among effect sizes within studies to vary with fertiliser type, while retaining a common among-study standard deviation. We have therefore made two changes. First, we revised the manuscript throughout so that residual-scale results are not described as evidence that among-study heterogeneity changes. Second, we added Box 3 and a fully reproducible tutorial extension in which the location, between-study scale and within-study scale are modelled separately for both lnRR and lnCVR. The primary study-level model uses independent animal- and plant-specific study effects because only six studies contain both fertiliser categories; we state this limitation and treat the correlated model as exploratory. We report plant-to-animal SD ratios because these are the exponentiated scale contrasts on the natural SD scale and directly express the multiplicative difference in heterogeneity.</w:t>
      </w:r>
    </w:p>
    <w:p>
      <w:r>
        <w:t>The extended analysis showed that the same moderator can influence different levels of heterogeneity for different outcomes. For lnRR, the plant-to-animal study-SD ratio was 2.18 (95% CrI 1.11–5.55), whereas the residual-SD ratio was uncertain (1.14, 0.94–1.40). Thus, the lnRR context dependence occurred mainly between studies, supporting poorer transferability of the study-level mean under plant fertiliser, although the interval was wide. For lnCVR, the residual-SD ratio was 1.67 (1.18–2.34), but the study-SD ratio was unresolved (1.05, 0.10–8.63). Thus, the lnCVR context dependence occurred mainly among effect sizes within studies, and we do not claim that transferability of the study-level mean differs. The tutorial additionally shows how both components contribute to prediction intervals for a genuinely new study.</w:t>
      </w:r>
    </w:p>
    <w:p>
      <w:pPr>
        <w:pStyle w:val="Heading2"/>
        <w:keepNext/>
      </w:pPr>
      <w:r>
        <w:t>R2.1  Abstract — rev.tex line 128; PDF p.2, lines 29–34</w:t>
      </w:r>
    </w:p>
    <w:p>
      <w:pPr>
        <w:keepLines/>
      </w:pPr>
      <w:r>
        <w:rPr>
          <w:b/>
          <w:color w:val="1F4D78"/>
        </w:rPr>
        <w:t xml:space="preserve">CURRENT — </w:t>
      </w:r>
      <w:r>
        <w:t>We then extend standard meta-regression to location-scale (mean-variance) modelling, allowing moderators to explain not only how lnRR (Model 3) and lnVR/lnCVR (Model 4) shift on average (‘location’) but also how their within-study/residual heterogeneity changes with context (‘scale’), thereby distinguishing settings where effects are generalisable and transferable from those where they are strongly context-dependent.</w:t>
      </w:r>
    </w:p>
    <w:p>
      <w:pPr>
        <w:keepLines/>
      </w:pPr>
      <w:r>
        <w:rPr>
          <w:b/>
          <w:color w:val="1F4D78"/>
        </w:rPr>
        <w:t xml:space="preserve">PROPOSED — </w:t>
      </w:r>
      <w:r>
        <w:t>We then extend standard meta-regression to multilevel location-scale modelling, allowing moderators to explain not only how lnRR (Model 3) and lnVR/lnCVR (Model 4) shift on average (‘location’), but also how residual heterogeneity among effect sizes within studies and heterogeneity among study-level effects change with context (‘scale’). These components respectively inform consistency across represented comparisons and transferability to a genuinely new study.</w:t>
      </w:r>
    </w:p>
    <w:p>
      <w:pPr>
        <w:keepLines/>
      </w:pPr>
      <w:r>
        <w:rPr>
          <w:b/>
          <w:color w:val="1F4D78"/>
        </w:rPr>
        <w:t xml:space="preserve">WHY — </w:t>
      </w:r>
      <w:r>
        <w:t>The original sentence moved from a residual-scale estimand to a new-study claim.</w:t>
      </w:r>
    </w:p>
    <w:p>
      <w:pPr>
        <w:pStyle w:val="Heading2"/>
        <w:keepNext/>
      </w:pPr>
      <w:r>
        <w:t>R2.2  Introduction — rev.tex line 142; PDF p.4, lines 86–93</w:t>
      </w:r>
    </w:p>
    <w:p>
      <w:pPr>
        <w:keepLines/>
      </w:pPr>
      <w:r>
        <w:rPr>
          <w:b/>
          <w:color w:val="1F4D78"/>
        </w:rPr>
        <w:t xml:space="preserve">CURRENT — </w:t>
      </w:r>
      <w:r>
        <w:t>Next, we move from description to explanation by fitting two types of meta-regression models: (i) location (mean) meta-regression models to test which moderators shift average effects, and (ii) location-scale (mean-variance) models to test whether the amount of between-study heterogeneity changes systematically with those moderators (Models 3 &amp; 4).</w:t>
      </w:r>
    </w:p>
    <w:p>
      <w:pPr>
        <w:keepLines/>
      </w:pPr>
      <w:r>
        <w:rPr>
          <w:b/>
          <w:color w:val="1F4D78"/>
        </w:rPr>
        <w:t xml:space="preserve">PROPOSED — </w:t>
      </w:r>
      <w:r>
        <w:t>Next, we move from description to explanation by fitting two types of meta-regression models: (i) location (mean) meta-regression models to test which moderators shift average effects, and (ii) multilevel location-scale models to test whether residual and study-level heterogeneity change systematically with those moderators (Models 3 &amp; 4; Box 3).</w:t>
      </w:r>
    </w:p>
    <w:p>
      <w:pPr>
        <w:keepLines/>
      </w:pPr>
      <w:r>
        <w:rPr>
          <w:b/>
          <w:color w:val="1F4D78"/>
        </w:rPr>
        <w:t xml:space="preserve">WHY — </w:t>
      </w:r>
      <w:r>
        <w:t>The revised wording names both modeled variance levels.</w:t>
      </w:r>
    </w:p>
    <w:p>
      <w:pPr>
        <w:pStyle w:val="Heading2"/>
        <w:keepNext/>
      </w:pPr>
      <w:r>
        <w:t>R2.3  Figure 1 caption — rev.tex line 161; PDF p.6, lines 107–113</w:t>
      </w:r>
    </w:p>
    <w:p>
      <w:pPr>
        <w:keepLines/>
      </w:pPr>
      <w:r>
        <w:rPr>
          <w:b/>
          <w:color w:val="1F4D78"/>
        </w:rPr>
        <w:t xml:space="preserve">CURRENT — </w:t>
      </w:r>
      <w:r>
        <w:t>(E–H) Location-scale (mean–variance) meta-regression tests whether a categorical moderator (levels A and B) shifts the expected effect (location) and/or the predictability/transferability of effects (scale; heterogeneity) (Models 3 and 4).</w:t>
      </w:r>
    </w:p>
    <w:p>
      <w:pPr>
        <w:keepLines/>
      </w:pPr>
      <w:r>
        <w:rPr>
          <w:b/>
          <w:color w:val="1F4D78"/>
        </w:rPr>
        <w:t xml:space="preserve">PROPOSED — </w:t>
      </w:r>
      <w:r>
        <w:t>(E–H) Location-scale meta-regression tests whether a categorical moderator shifts the expected effect (location) and/or residual heterogeneity among effect sizes within studies (scale; Models 3 and 4). The study-level extension in Box 3 additionally tests whether among-study heterogeneity differs between moderator levels and therefore informs transferability to a new study.</w:t>
      </w:r>
    </w:p>
    <w:p>
      <w:pPr>
        <w:keepLines/>
      </w:pPr>
      <w:r>
        <w:rPr>
          <w:b/>
          <w:color w:val="1F4D78"/>
        </w:rPr>
        <w:t xml:space="preserve">WHY — </w:t>
      </w:r>
      <w:r>
        <w:t>The conceptual figure shows the original residual scale, so the caption should not imply a study-scale contrast.</w:t>
      </w:r>
    </w:p>
    <w:p>
      <w:pPr>
        <w:pStyle w:val="Heading2"/>
        <w:keepNext/>
      </w:pPr>
      <w:r>
        <w:t>R2.4  Location-scale motivation — rev.tex line 322; PDF p.14, lines 239–249</w:t>
      </w:r>
    </w:p>
    <w:p>
      <w:pPr>
        <w:keepLines/>
      </w:pPr>
      <w:r>
        <w:rPr>
          <w:b/>
          <w:color w:val="1F4D78"/>
        </w:rPr>
        <w:t xml:space="preserve">CURRENT — </w:t>
      </w:r>
      <w:r>
        <w:t>This is the key step linking synthesis to generalisability and transferability: it tells us not only what to expect on average, but also in which contexts that expectation is reliable enough to apply to a new site or study.</w:t>
      </w:r>
    </w:p>
    <w:p>
      <w:pPr>
        <w:keepLines/>
      </w:pPr>
      <w:r>
        <w:rPr>
          <w:b/>
          <w:color w:val="1F4D78"/>
        </w:rPr>
        <w:t xml:space="preserve">PROPOSED — </w:t>
      </w:r>
      <w:r>
        <w:t>Residual-scale moderation shows whether effects are more or less dispersed among comparisons within studies. Box 3 extends the location–scale framework by giving between-study and within-study heterogeneity separate scale sub-models. This distinguishes where context dependence occurs and whether variation among study-level effects changes with the moderator.</w:t>
      </w:r>
    </w:p>
    <w:p>
      <w:pPr>
        <w:keepLines/>
      </w:pPr>
      <w:r>
        <w:rPr>
          <w:b/>
          <w:color w:val="1F4D78"/>
        </w:rPr>
        <w:t xml:space="preserve">WHY — </w:t>
      </w:r>
      <w:r>
        <w:t>This is the central conceptual correction requested by R2.</w:t>
      </w:r>
    </w:p>
    <w:p>
      <w:pPr>
        <w:pStyle w:val="Heading2"/>
        <w:keepNext/>
      </w:pPr>
      <w:r>
        <w:t>R2.5  Model introduction — rev.tex line 326; PDF p.14, lines 251–257</w:t>
      </w:r>
    </w:p>
    <w:p>
      <w:pPr>
        <w:keepLines/>
      </w:pPr>
      <w:r>
        <w:rPr>
          <w:b/>
          <w:color w:val="1F4D78"/>
        </w:rPr>
        <w:t xml:space="preserve">CURRENT — </w:t>
      </w:r>
      <w:r>
        <w:t>This allows moderators to be evaluated for two distinct roles: shifting the expected effect and altering its predictability (uncertainty around the average) across studies.</w:t>
      </w:r>
    </w:p>
    <w:p>
      <w:pPr>
        <w:keepLines/>
      </w:pPr>
      <w:r>
        <w:rPr>
          <w:b/>
          <w:color w:val="1F4D78"/>
        </w:rPr>
        <w:t xml:space="preserve">PROPOSED — </w:t>
      </w:r>
      <w:r>
        <w:t>This allows moderators to be evaluated for two distinct roles: shifting the expected effect and altering residual dispersion among effect sizes within studies. Box 3 extends this framework to a third role: changing heterogeneity among study-level effects.</w:t>
      </w:r>
    </w:p>
    <w:p>
      <w:pPr>
        <w:keepLines/>
      </w:pPr>
      <w:r>
        <w:rPr>
          <w:b/>
          <w:color w:val="1F4D78"/>
        </w:rPr>
        <w:t xml:space="preserve">WHY — </w:t>
      </w:r>
      <w:r>
        <w:t>The scale in Equations 15–17 is residual, not study-level.</w:t>
      </w:r>
    </w:p>
    <w:p>
      <w:pPr>
        <w:pStyle w:val="Heading2"/>
        <w:keepNext/>
      </w:pPr>
      <w:r>
        <w:t>R2.6  Interpretation after Equations 15–17 — rev.tex lines 341–343; PDF p.15, lines 267–278</w:t>
      </w:r>
    </w:p>
    <w:p>
      <w:pPr>
        <w:keepLines/>
      </w:pPr>
      <w:r>
        <w:rPr>
          <w:b/>
          <w:color w:val="1F4D78"/>
        </w:rPr>
        <w:t xml:space="preserve">CURRENT — </w:t>
      </w:r>
      <w:r>
        <w:t>A non-zero scale coefficient implies that the amount of heterogeneity depends on the moderator: effects are more variable in some contexts than others, so generalisation is correspondingly easier or harder. [The following paragraph says the scale part changes] the spread of effects across studies.</w:t>
      </w:r>
    </w:p>
    <w:p>
      <w:pPr>
        <w:keepLines/>
      </w:pPr>
      <w:r>
        <w:rPr>
          <w:b/>
          <w:color w:val="1F4D78"/>
        </w:rPr>
        <w:t xml:space="preserve">PROPOSED — </w:t>
      </w:r>
      <w:r>
        <w:t>A non-zero residual-scale coefficient implies that dispersion among effect sizes within studies depends on the moderator: effects are more variable among the represented comparisons in some contexts than others. This residual contrast should be distinguished from a moderator-dependent study SD, which describes variation among study-level effects and is introduced in Box 3.</w:t>
      </w:r>
    </w:p>
    <w:p>
      <w:pPr>
        <w:keepLines/>
      </w:pPr>
      <w:r>
        <w:rPr>
          <w:b/>
          <w:color w:val="1F4D78"/>
        </w:rPr>
        <w:t xml:space="preserve">WHY — </w:t>
      </w:r>
      <w:r>
        <w:t>This is the smallest accurate replacement for the two linked overstatements.</w:t>
      </w:r>
    </w:p>
    <w:p>
      <w:pPr>
        <w:pStyle w:val="Heading2"/>
        <w:keepNext/>
      </w:pPr>
      <w:r>
        <w:t>R2.7  Example model specification — rev.tex line 367; PDF p.17, lines 285–289</w:t>
      </w:r>
    </w:p>
    <w:p>
      <w:pPr>
        <w:keepLines/>
      </w:pPr>
      <w:r>
        <w:rPr>
          <w:b/>
          <w:color w:val="1F4D78"/>
        </w:rPr>
        <w:t xml:space="preserve">CURRENT — </w:t>
      </w:r>
      <w:r>
        <w:t>In these models, the reference level is animal-based fertiliser, so the intercept represents the expected effect (and heterogeneity) for animal-based systems, and the contrast coefficient represents the shift for plant-based systems.</w:t>
      </w:r>
    </w:p>
    <w:p>
      <w:pPr>
        <w:keepLines/>
      </w:pPr>
      <w:r>
        <w:rPr>
          <w:b/>
          <w:color w:val="1F4D78"/>
        </w:rPr>
        <w:t xml:space="preserve">PROPOSED — </w:t>
      </w:r>
      <w:r>
        <w:t>In the location and residual-scale sub-models, the animal-based intercept represents the expected effect and residual log-SD for the reference category, and each plant contrast represents the corresponding shift. The extension in Box 3 separately estimates animal- and plant-specific study SDs.</w:t>
      </w:r>
    </w:p>
    <w:p>
      <w:pPr>
        <w:keepLines/>
      </w:pPr>
      <w:r>
        <w:rPr>
          <w:b/>
          <w:color w:val="1F4D78"/>
        </w:rPr>
        <w:t xml:space="preserve">WHY — </w:t>
      </w:r>
      <w:r>
        <w:t>One intercept cannot simultaneously denote the mean, residual SD and study SD.</w:t>
      </w:r>
    </w:p>
    <w:p>
      <w:pPr>
        <w:pStyle w:val="Heading2"/>
        <w:keepNext/>
      </w:pPr>
      <w:r>
        <w:t>R2.8  lnCVR results — rev.tex line 375; PDF pp.17–18, lines 305–314</w:t>
      </w:r>
    </w:p>
    <w:p>
      <w:pPr>
        <w:keepLines/>
      </w:pPr>
      <w:r>
        <w:rPr>
          <w:b/>
          <w:color w:val="1F4D78"/>
        </w:rPr>
        <w:t xml:space="preserve">CURRENT — </w:t>
      </w:r>
      <w:r>
        <w:t>In other words, while the expected stability gap (lnCVR) is broadly similar between fertiliser categories, the evidence is far less transferable under plant-based fertilisers: some studies show near parity in stability, whereas others show much larger organic-conventional differences.</w:t>
      </w:r>
    </w:p>
    <w:p>
      <w:pPr>
        <w:keepLines/>
      </w:pPr>
      <w:r>
        <w:rPr>
          <w:b/>
          <w:color w:val="1F4D78"/>
        </w:rPr>
        <w:t xml:space="preserve">PROPOSED — </w:t>
      </w:r>
      <w:r>
        <w:t>In other words, while the expected within-group variability contrast (lnCVR) was broadly similar between fertiliser categories, residual heterogeneity was greater under plant-based fertilisers (plant/animal residual-SD ratio = 1.67, 95% CrI 1.18–2.34). The study-SD contrast was highly uncertain (ratio = 1.05, 0.10–8.63). The context dependence therefore occurred mainly among effect sizes within studies, and transferability of the study-level mean was not shown to differ.</w:t>
      </w:r>
    </w:p>
    <w:p>
      <w:pPr>
        <w:keepLines/>
      </w:pPr>
      <w:r>
        <w:rPr>
          <w:b/>
          <w:color w:val="1F4D78"/>
        </w:rPr>
        <w:t xml:space="preserve">WHY — </w:t>
      </w:r>
      <w:r>
        <w:t>This is the principal empirical claim that must be reversed.</w:t>
      </w:r>
    </w:p>
    <w:p>
      <w:pPr>
        <w:pStyle w:val="Heading2"/>
        <w:keepNext/>
      </w:pPr>
      <w:r>
        <w:t>R2.9  Synthesis of Models 3 and 4 — rev.tex line 377; PDF p.18, lines 315–320</w:t>
      </w:r>
    </w:p>
    <w:p>
      <w:pPr>
        <w:keepLines/>
      </w:pPr>
      <w:r>
        <w:rPr>
          <w:b/>
          <w:color w:val="1F4D78"/>
        </w:rPr>
        <w:t xml:space="preserve">CURRENT — </w:t>
      </w:r>
      <w:r>
        <w:t>Thus, a moderator can be important even when it barely shifts the mean effect: it can determine whether an estimated effect is robust and transferable, or whether it is strongly contingent on unmeasured ecological and methodological details within that moderator category.</w:t>
      </w:r>
    </w:p>
    <w:p>
      <w:pPr>
        <w:keepLines/>
      </w:pPr>
      <w:r>
        <w:rPr>
          <w:b/>
          <w:color w:val="1F4D78"/>
        </w:rPr>
        <w:t xml:space="preserve">PROPOSED — </w:t>
      </w:r>
      <w:r>
        <w:t>The two heterogeneity levels gave complementary results. For lnRR, plant-based fertiliser had greater study-level heterogeneity (study-SD ratio = 2.18, 95% CrI 1.11–5.55), whereas the residual contrast was uncertain. For lnCVR, plant-based fertiliser had greater residual heterogeneity (residual-SD ratio = 1.67, 1.18–2.34), whereas the study-level contrast was unresolved. Thus, the same moderator can influence different levels of heterogeneity for different outcomes; consistency among comparisons within studies and transferability of a study-level mean are related but distinct questions.</w:t>
      </w:r>
    </w:p>
    <w:p>
      <w:pPr>
        <w:keepLines/>
      </w:pPr>
      <w:r>
        <w:rPr>
          <w:b/>
          <w:color w:val="1F4D78"/>
        </w:rPr>
        <w:t xml:space="preserve">WHY — </w:t>
      </w:r>
      <w:r>
        <w:t>This sentence carries the new headline without expanding the surrounding narrative.</w:t>
      </w:r>
    </w:p>
    <w:p>
      <w:pPr>
        <w:pStyle w:val="Heading2"/>
        <w:keepNext/>
      </w:pPr>
      <w:r>
        <w:t>R2.10  Figure 3 caption — rev.tex lines 387–389; PDF p.19</w:t>
      </w:r>
    </w:p>
    <w:p>
      <w:pPr>
        <w:keepLines/>
      </w:pPr>
      <w:r>
        <w:rPr>
          <w:b/>
          <w:color w:val="1F4D78"/>
        </w:rPr>
        <w:t xml:space="preserve">CURRENT — </w:t>
      </w:r>
      <w:r>
        <w:t>The title describes ‘predictability’; panels C–D show scale parameters, and panels E–F are labelled as the between-study standard deviation.</w:t>
      </w:r>
    </w:p>
    <w:p>
      <w:pPr>
        <w:keepLines/>
      </w:pPr>
      <w:r>
        <w:rPr>
          <w:b/>
          <w:color w:val="1F4D78"/>
        </w:rPr>
        <w:t xml:space="preserve">PROPOSED — </w:t>
      </w:r>
      <w:r>
        <w:t>In the title, replace ‘predictability’ with ‘residual heterogeneity’. In the panel description, state that C–D show residual-scale parameters. State explicitly that E–F show the common between-study SD from the original model and are not fertiliser-specific study-SD contrasts; refer readers to Box 3 and the extended tutorial for those contrasts.</w:t>
      </w:r>
    </w:p>
    <w:p>
      <w:pPr>
        <w:keepLines/>
      </w:pPr>
      <w:r>
        <w:rPr>
          <w:b/>
          <w:color w:val="1F4D78"/>
        </w:rPr>
        <w:t xml:space="preserve">WHY — </w:t>
      </w:r>
      <w:r>
        <w:t>This prevents the original figure from appearing to contain the new study-scale analysis.</w:t>
      </w:r>
    </w:p>
    <w:p>
      <w:pPr>
        <w:pStyle w:val="Heading2"/>
        <w:keepNext/>
      </w:pPr>
      <w:r>
        <w:t>R2.11  Conclusion — rev.tex lines 396–400; PDF p.20, lines 322–352</w:t>
      </w:r>
    </w:p>
    <w:p>
      <w:pPr>
        <w:keepLines/>
      </w:pPr>
      <w:r>
        <w:rPr>
          <w:b/>
          <w:color w:val="1F4D78"/>
        </w:rPr>
        <w:t xml:space="preserve">CURRENT — </w:t>
      </w:r>
      <w:r>
        <w:t>Other moderators primarily shift the predictability of the evidence (the ‘scale’ component), changing how transferable (generalisable) that expectation is. Location-scale modelling formalises that second question.</w:t>
      </w:r>
    </w:p>
    <w:p>
      <w:pPr>
        <w:keepLines/>
      </w:pPr>
      <w:r>
        <w:rPr>
          <w:b/>
          <w:color w:val="1F4D78"/>
        </w:rPr>
        <w:t xml:space="preserve">PROPOSED — </w:t>
      </w:r>
      <w:r>
        <w:t>Other moderators primarily shift residual dispersion among effect sizes within studies, changing how consistent effects are among the represented comparisons. Transferability to a genuinely new study additionally depends on among-study heterogeneity. Multilevel location-scale modelling can estimate both components, and prediction intervals should propagate both (Box 3).</w:t>
      </w:r>
    </w:p>
    <w:p>
      <w:pPr>
        <w:keepLines/>
      </w:pPr>
      <w:r>
        <w:rPr>
          <w:b/>
          <w:color w:val="1F4D78"/>
        </w:rPr>
        <w:t xml:space="preserve">WHY — </w:t>
      </w:r>
      <w:r>
        <w:t>A two-sentence substitution is enough; the rest of the conclusion can remain.</w:t>
      </w:r>
    </w:p>
    <w:p>
      <w:pPr>
        <w:pStyle w:val="Heading1"/>
      </w:pPr>
      <w:r>
        <w:t>R3 — Crop SDs and ‘yield stability’</w:t>
      </w:r>
    </w:p>
    <w:p>
      <w:pPr>
        <w:keepLines/>
      </w:pPr>
      <w:r>
        <w:rPr>
          <w:b/>
          <w:color w:val="1F4D78"/>
        </w:rPr>
        <w:t xml:space="preserve">REVIEWER COMMENT — </w:t>
      </w:r>
      <w:r>
        <w:t>The dataset does not establish that every SD measures temporal variation. The reviewer therefore recommends interpreting lnVR/lnCVR as within-group yield variability unless temporal measurement is demonstrated.</w:t>
      </w:r>
    </w:p>
    <w:p>
      <w:pPr>
        <w:pStyle w:val="Heading2"/>
      </w:pPr>
      <w:r>
        <w:t>Proposed response to R3</w:t>
      </w:r>
    </w:p>
    <w:p>
      <w:r>
        <w:t>We agree. The available summary data do not establish that all reported SDs represent temporal variation; they may instead reflect variation among replicates or other sampling units. We have therefore replaced crop-specific claims about ‘yield stability’ or ‘reliability’ with ‘within-group yield variability’ (or ‘mean-corrected within-group yield variability’ for lnCVR) throughout the manuscript, figures, keywords and tutorial. We retain ‘stability’ only in generic methodological examples where it is explicitly hypothetical, not as an interpretation of this crop dataset.</w:t>
      </w:r>
    </w:p>
    <w:p>
      <w:pPr>
        <w:pStyle w:val="Heading2"/>
      </w:pPr>
      <w:r>
        <w:t>Exact terminology sweep</w:t>
      </w:r>
    </w:p>
    <w:tbl>
      <w:tblPr>
        <w:tblW w:type="dxa" w:w="9360"/>
        <w:jc w:val="left"/>
        <w:tblLayout w:type="fixed"/>
        <w:tblLook w:firstColumn="1" w:firstRow="1" w:lastColumn="0" w:lastRow="0" w:noHBand="0" w:noVBand="1" w:val="04A0"/>
        <w:tblInd w:type="dxa" w:w="120"/>
      </w:tblPr>
      <w:tblGrid>
        <w:gridCol w:w="1050"/>
        <w:gridCol w:w="3650"/>
        <w:gridCol w:w="4660"/>
      </w:tblGrid>
      <w:tr>
        <w:trPr>
          <w:tblHeader w:val="true"/>
        </w:trPr>
        <w:tc>
          <w:tcPr>
            <w:tcW w:type="dxa" w:w="1050"/>
            <w:vAlign w:val="top"/>
            <w:tcMar>
              <w:top w:w="80" w:type="dxa"/>
              <w:bottom w:w="80" w:type="dxa"/>
              <w:start w:w="120" w:type="dxa"/>
              <w:end w:w="120" w:type="dxa"/>
            </w:tcMar>
            <w:shd w:fill="E8EEF5"/>
          </w:tcPr>
          <w:p>
            <w:r>
              <w:rPr>
                <w:b/>
              </w:rPr>
              <w:t>rev.tex</w:t>
            </w:r>
          </w:p>
        </w:tc>
        <w:tc>
          <w:tcPr>
            <w:tcW w:type="dxa" w:w="3650"/>
            <w:vAlign w:val="top"/>
            <w:tcMar>
              <w:top w:w="80" w:type="dxa"/>
              <w:bottom w:w="80" w:type="dxa"/>
              <w:start w:w="120" w:type="dxa"/>
              <w:end w:w="120" w:type="dxa"/>
            </w:tcMar>
            <w:shd w:fill="E8EEF5"/>
          </w:tcPr>
          <w:p>
            <w:r>
              <w:rPr>
                <w:b/>
              </w:rPr>
              <w:t>Current wording</w:t>
            </w:r>
          </w:p>
        </w:tc>
        <w:tc>
          <w:tcPr>
            <w:tcW w:type="dxa" w:w="4660"/>
            <w:vAlign w:val="top"/>
            <w:tcMar>
              <w:top w:w="80" w:type="dxa"/>
              <w:bottom w:w="80" w:type="dxa"/>
              <w:start w:w="120" w:type="dxa"/>
              <w:end w:w="120" w:type="dxa"/>
            </w:tcMar>
            <w:shd w:fill="E8EEF5"/>
          </w:tcPr>
          <w:p>
            <w:r>
              <w:rPr>
                <w:b/>
              </w:rPr>
              <w:t>Replace with</w:t>
            </w:r>
          </w:p>
        </w:tc>
      </w:tr>
      <w:tr>
        <w:trPr>
          <w:cantSplit w:val="true"/>
        </w:trPr>
        <w:tc>
          <w:tcPr>
            <w:tcW w:type="dxa" w:w="1050"/>
            <w:vAlign w:val="top"/>
            <w:tcMar>
              <w:top w:w="80" w:type="dxa"/>
              <w:bottom w:w="80" w:type="dxa"/>
              <w:start w:w="120" w:type="dxa"/>
              <w:end w:w="120" w:type="dxa"/>
            </w:tcMar>
          </w:tcPr>
          <w:p>
            <w:r>
              <w:t>117</w:t>
            </w:r>
          </w:p>
        </w:tc>
        <w:tc>
          <w:tcPr>
            <w:tcW w:type="dxa" w:w="3650"/>
            <w:vAlign w:val="top"/>
            <w:tcMar>
              <w:top w:w="80" w:type="dxa"/>
              <w:bottom w:w="80" w:type="dxa"/>
              <w:start w:w="120" w:type="dxa"/>
              <w:end w:w="120" w:type="dxa"/>
            </w:tcMar>
          </w:tcPr>
          <w:p>
            <w:r>
              <w:t>yield stability</w:t>
            </w:r>
          </w:p>
        </w:tc>
        <w:tc>
          <w:tcPr>
            <w:tcW w:type="dxa" w:w="4660"/>
            <w:vAlign w:val="top"/>
            <w:tcMar>
              <w:top w:w="80" w:type="dxa"/>
              <w:bottom w:w="80" w:type="dxa"/>
              <w:start w:w="120" w:type="dxa"/>
              <w:end w:w="120" w:type="dxa"/>
            </w:tcMar>
          </w:tcPr>
          <w:p>
            <w:r>
              <w:t>yield variability</w:t>
            </w:r>
          </w:p>
        </w:tc>
      </w:tr>
      <w:tr>
        <w:trPr>
          <w:cantSplit w:val="true"/>
        </w:trPr>
        <w:tc>
          <w:tcPr>
            <w:tcW w:type="dxa" w:w="1050"/>
            <w:vAlign w:val="top"/>
            <w:tcMar>
              <w:top w:w="80" w:type="dxa"/>
              <w:bottom w:w="80" w:type="dxa"/>
              <w:start w:w="120" w:type="dxa"/>
              <w:end w:w="120" w:type="dxa"/>
            </w:tcMar>
          </w:tcPr>
          <w:p>
            <w:r>
              <w:t>128</w:t>
            </w:r>
          </w:p>
        </w:tc>
        <w:tc>
          <w:tcPr>
            <w:tcW w:type="dxa" w:w="3650"/>
            <w:vAlign w:val="top"/>
            <w:tcMar>
              <w:top w:w="80" w:type="dxa"/>
              <w:bottom w:w="80" w:type="dxa"/>
              <w:start w:w="120" w:type="dxa"/>
              <w:end w:w="120" w:type="dxa"/>
            </w:tcMar>
          </w:tcPr>
          <w:p>
            <w:r>
              <w:t>reliability/stability (lnVR/lnCVR)</w:t>
            </w:r>
          </w:p>
        </w:tc>
        <w:tc>
          <w:tcPr>
            <w:tcW w:type="dxa" w:w="4660"/>
            <w:vAlign w:val="top"/>
            <w:tcMar>
              <w:top w:w="80" w:type="dxa"/>
              <w:bottom w:w="80" w:type="dxa"/>
              <w:start w:w="120" w:type="dxa"/>
              <w:end w:w="120" w:type="dxa"/>
            </w:tcMar>
          </w:tcPr>
          <w:p>
            <w:r>
              <w:t>within-group variability (lnVR/lnCVR)</w:t>
            </w:r>
          </w:p>
        </w:tc>
      </w:tr>
      <w:tr>
        <w:trPr>
          <w:cantSplit w:val="true"/>
        </w:trPr>
        <w:tc>
          <w:tcPr>
            <w:tcW w:type="dxa" w:w="1050"/>
            <w:vAlign w:val="top"/>
            <w:tcMar>
              <w:top w:w="80" w:type="dxa"/>
              <w:bottom w:w="80" w:type="dxa"/>
              <w:start w:w="120" w:type="dxa"/>
              <w:end w:w="120" w:type="dxa"/>
            </w:tcMar>
          </w:tcPr>
          <w:p>
            <w:r>
              <w:t>142</w:t>
            </w:r>
          </w:p>
        </w:tc>
        <w:tc>
          <w:tcPr>
            <w:tcW w:type="dxa" w:w="3650"/>
            <w:vAlign w:val="top"/>
            <w:tcMar>
              <w:top w:w="80" w:type="dxa"/>
              <w:bottom w:w="80" w:type="dxa"/>
              <w:start w:w="120" w:type="dxa"/>
              <w:end w:w="120" w:type="dxa"/>
            </w:tcMar>
          </w:tcPr>
          <w:p>
            <w:r>
              <w:t>within-population yield variability (i.e., stability)</w:t>
            </w:r>
          </w:p>
        </w:tc>
        <w:tc>
          <w:tcPr>
            <w:tcW w:type="dxa" w:w="4660"/>
            <w:vAlign w:val="top"/>
            <w:tcMar>
              <w:top w:w="80" w:type="dxa"/>
              <w:bottom w:w="80" w:type="dxa"/>
              <w:start w:w="120" w:type="dxa"/>
              <w:end w:w="120" w:type="dxa"/>
            </w:tcMar>
          </w:tcPr>
          <w:p>
            <w:r>
              <w:t>within-group yield variability</w:t>
            </w:r>
          </w:p>
        </w:tc>
      </w:tr>
      <w:tr>
        <w:trPr>
          <w:cantSplit w:val="true"/>
        </w:trPr>
        <w:tc>
          <w:tcPr>
            <w:tcW w:type="dxa" w:w="1050"/>
            <w:vAlign w:val="top"/>
            <w:tcMar>
              <w:top w:w="80" w:type="dxa"/>
              <w:bottom w:w="80" w:type="dxa"/>
              <w:start w:w="120" w:type="dxa"/>
              <w:end w:w="120" w:type="dxa"/>
            </w:tcMar>
          </w:tcPr>
          <w:p>
            <w:r>
              <w:t>234–235</w:t>
            </w:r>
          </w:p>
        </w:tc>
        <w:tc>
          <w:tcPr>
            <w:tcW w:type="dxa" w:w="3650"/>
            <w:vAlign w:val="top"/>
            <w:tcMar>
              <w:top w:w="80" w:type="dxa"/>
              <w:bottom w:w="80" w:type="dxa"/>
              <w:start w:w="120" w:type="dxa"/>
              <w:end w:w="120" w:type="dxa"/>
            </w:tcMar>
          </w:tcPr>
          <w:p>
            <w:r>
              <w:t>yield stability; lower stability</w:t>
            </w:r>
          </w:p>
        </w:tc>
        <w:tc>
          <w:tcPr>
            <w:tcW w:type="dxa" w:w="4660"/>
            <w:vAlign w:val="top"/>
            <w:tcMar>
              <w:top w:w="80" w:type="dxa"/>
              <w:bottom w:w="80" w:type="dxa"/>
              <w:start w:w="120" w:type="dxa"/>
              <w:end w:w="120" w:type="dxa"/>
            </w:tcMar>
          </w:tcPr>
          <w:p>
            <w:r>
              <w:t>within-group yield variability; greater relative variability</w:t>
            </w:r>
          </w:p>
        </w:tc>
      </w:tr>
      <w:tr>
        <w:trPr>
          <w:cantSplit w:val="true"/>
        </w:trPr>
        <w:tc>
          <w:tcPr>
            <w:tcW w:type="dxa" w:w="1050"/>
            <w:vAlign w:val="top"/>
            <w:tcMar>
              <w:top w:w="80" w:type="dxa"/>
              <w:bottom w:w="80" w:type="dxa"/>
              <w:start w:w="120" w:type="dxa"/>
              <w:end w:w="120" w:type="dxa"/>
            </w:tcMar>
          </w:tcPr>
          <w:p>
            <w:r>
              <w:t>253</w:t>
            </w:r>
          </w:p>
        </w:tc>
        <w:tc>
          <w:tcPr>
            <w:tcW w:type="dxa" w:w="3650"/>
            <w:vAlign w:val="top"/>
            <w:tcMar>
              <w:top w:w="80" w:type="dxa"/>
              <w:bottom w:w="80" w:type="dxa"/>
              <w:start w:w="120" w:type="dxa"/>
              <w:end w:w="120" w:type="dxa"/>
            </w:tcMar>
          </w:tcPr>
          <w:p>
            <w:r>
              <w:t>within-population stability unanalysed</w:t>
            </w:r>
          </w:p>
        </w:tc>
        <w:tc>
          <w:tcPr>
            <w:tcW w:type="dxa" w:w="4660"/>
            <w:vAlign w:val="top"/>
            <w:tcMar>
              <w:top w:w="80" w:type="dxa"/>
              <w:bottom w:w="80" w:type="dxa"/>
              <w:start w:w="120" w:type="dxa"/>
              <w:end w:w="120" w:type="dxa"/>
            </w:tcMar>
          </w:tcPr>
          <w:p>
            <w:r>
              <w:t>within-group variability unanalysed</w:t>
            </w:r>
          </w:p>
        </w:tc>
      </w:tr>
      <w:tr>
        <w:trPr>
          <w:cantSplit w:val="true"/>
        </w:trPr>
        <w:tc>
          <w:tcPr>
            <w:tcW w:type="dxa" w:w="1050"/>
            <w:vAlign w:val="top"/>
            <w:tcMar>
              <w:top w:w="80" w:type="dxa"/>
              <w:bottom w:w="80" w:type="dxa"/>
              <w:start w:w="120" w:type="dxa"/>
              <w:end w:w="120" w:type="dxa"/>
            </w:tcMar>
          </w:tcPr>
          <w:p>
            <w:r>
              <w:t>314</w:t>
            </w:r>
          </w:p>
        </w:tc>
        <w:tc>
          <w:tcPr>
            <w:tcW w:type="dxa" w:w="3650"/>
            <w:vAlign w:val="top"/>
            <w:tcMar>
              <w:top w:w="80" w:type="dxa"/>
              <w:bottom w:w="80" w:type="dxa"/>
              <w:start w:w="120" w:type="dxa"/>
              <w:end w:w="120" w:type="dxa"/>
            </w:tcMar>
          </w:tcPr>
          <w:p>
            <w:r>
              <w:t>Example: yield variability (stability)</w:t>
            </w:r>
          </w:p>
        </w:tc>
        <w:tc>
          <w:tcPr>
            <w:tcW w:type="dxa" w:w="4660"/>
            <w:vAlign w:val="top"/>
            <w:tcMar>
              <w:top w:w="80" w:type="dxa"/>
              <w:bottom w:w="80" w:type="dxa"/>
              <w:start w:w="120" w:type="dxa"/>
              <w:end w:w="120" w:type="dxa"/>
            </w:tcMar>
          </w:tcPr>
          <w:p>
            <w:r>
              <w:t>Example: within-group yield variability</w:t>
            </w:r>
          </w:p>
        </w:tc>
      </w:tr>
      <w:tr>
        <w:trPr>
          <w:cantSplit w:val="true"/>
        </w:trPr>
        <w:tc>
          <w:tcPr>
            <w:tcW w:type="dxa" w:w="1050"/>
            <w:vAlign w:val="top"/>
            <w:tcMar>
              <w:top w:w="80" w:type="dxa"/>
              <w:bottom w:w="80" w:type="dxa"/>
              <w:start w:w="120" w:type="dxa"/>
              <w:end w:w="120" w:type="dxa"/>
            </w:tcMar>
          </w:tcPr>
          <w:p>
            <w:r>
              <w:t>316</w:t>
            </w:r>
          </w:p>
        </w:tc>
        <w:tc>
          <w:tcPr>
            <w:tcW w:type="dxa" w:w="3650"/>
            <w:vAlign w:val="top"/>
            <w:tcMar>
              <w:top w:w="80" w:type="dxa"/>
              <w:bottom w:w="80" w:type="dxa"/>
              <w:start w:w="120" w:type="dxa"/>
              <w:end w:w="120" w:type="dxa"/>
            </w:tcMar>
          </w:tcPr>
          <w:p>
            <w:r>
              <w:t>reliability and stability; targets stability</w:t>
            </w:r>
          </w:p>
        </w:tc>
        <w:tc>
          <w:tcPr>
            <w:tcW w:type="dxa" w:w="4660"/>
            <w:vAlign w:val="top"/>
            <w:tcMar>
              <w:top w:w="80" w:type="dxa"/>
              <w:bottom w:w="80" w:type="dxa"/>
              <w:start w:w="120" w:type="dxa"/>
              <w:end w:w="120" w:type="dxa"/>
            </w:tcMar>
          </w:tcPr>
          <w:p>
            <w:r>
              <w:t>within-group yield variability; targets variability relative to mean yield</w:t>
            </w:r>
          </w:p>
        </w:tc>
      </w:tr>
      <w:tr>
        <w:trPr>
          <w:cantSplit w:val="true"/>
        </w:trPr>
        <w:tc>
          <w:tcPr>
            <w:tcW w:type="dxa" w:w="1050"/>
            <w:vAlign w:val="top"/>
            <w:tcMar>
              <w:top w:w="80" w:type="dxa"/>
              <w:bottom w:w="80" w:type="dxa"/>
              <w:start w:w="120" w:type="dxa"/>
              <w:end w:w="120" w:type="dxa"/>
            </w:tcMar>
          </w:tcPr>
          <w:p>
            <w:r>
              <w:t>322</w:t>
            </w:r>
          </w:p>
        </w:tc>
        <w:tc>
          <w:tcPr>
            <w:tcW w:type="dxa" w:w="3650"/>
            <w:vAlign w:val="top"/>
            <w:tcMar>
              <w:top w:w="80" w:type="dxa"/>
              <w:bottom w:w="80" w:type="dxa"/>
              <w:start w:w="120" w:type="dxa"/>
              <w:end w:w="120" w:type="dxa"/>
            </w:tcMar>
          </w:tcPr>
          <w:p>
            <w:r>
              <w:t>lnCVR (reliability/stability gap)</w:t>
            </w:r>
          </w:p>
        </w:tc>
        <w:tc>
          <w:tcPr>
            <w:tcW w:type="dxa" w:w="4660"/>
            <w:vAlign w:val="top"/>
            <w:tcMar>
              <w:top w:w="80" w:type="dxa"/>
              <w:bottom w:w="80" w:type="dxa"/>
              <w:start w:w="120" w:type="dxa"/>
              <w:end w:w="120" w:type="dxa"/>
            </w:tcMar>
          </w:tcPr>
          <w:p>
            <w:r>
              <w:t>lnCVR (within-group variability contrast)</w:t>
            </w:r>
          </w:p>
        </w:tc>
      </w:tr>
      <w:tr>
        <w:trPr>
          <w:cantSplit w:val="true"/>
        </w:trPr>
        <w:tc>
          <w:tcPr>
            <w:tcW w:type="dxa" w:w="1050"/>
            <w:vAlign w:val="top"/>
            <w:tcMar>
              <w:top w:w="80" w:type="dxa"/>
              <w:bottom w:w="80" w:type="dxa"/>
              <w:start w:w="120" w:type="dxa"/>
              <w:end w:w="120" w:type="dxa"/>
            </w:tcMar>
          </w:tcPr>
          <w:p>
            <w:r>
              <w:t>363</w:t>
            </w:r>
          </w:p>
        </w:tc>
        <w:tc>
          <w:tcPr>
            <w:tcW w:type="dxa" w:w="3650"/>
            <w:vAlign w:val="top"/>
            <w:tcMar>
              <w:top w:w="80" w:type="dxa"/>
              <w:bottom w:w="80" w:type="dxa"/>
              <w:start w:w="120" w:type="dxa"/>
              <w:end w:w="120" w:type="dxa"/>
            </w:tcMar>
          </w:tcPr>
          <w:p>
            <w:r>
              <w:t>yield gap and stability</w:t>
            </w:r>
          </w:p>
        </w:tc>
        <w:tc>
          <w:tcPr>
            <w:tcW w:type="dxa" w:w="4660"/>
            <w:vAlign w:val="top"/>
            <w:tcMar>
              <w:top w:w="80" w:type="dxa"/>
              <w:bottom w:w="80" w:type="dxa"/>
              <w:start w:w="120" w:type="dxa"/>
              <w:end w:w="120" w:type="dxa"/>
            </w:tcMar>
          </w:tcPr>
          <w:p>
            <w:r>
              <w:t>yield gap and within-group variability</w:t>
            </w:r>
          </w:p>
        </w:tc>
      </w:tr>
      <w:tr>
        <w:trPr>
          <w:cantSplit w:val="true"/>
        </w:trPr>
        <w:tc>
          <w:tcPr>
            <w:tcW w:type="dxa" w:w="1050"/>
            <w:vAlign w:val="top"/>
            <w:tcMar>
              <w:top w:w="80" w:type="dxa"/>
              <w:bottom w:w="80" w:type="dxa"/>
              <w:start w:w="120" w:type="dxa"/>
              <w:end w:w="120" w:type="dxa"/>
            </w:tcMar>
          </w:tcPr>
          <w:p>
            <w:r>
              <w:t>375–377</w:t>
            </w:r>
          </w:p>
        </w:tc>
        <w:tc>
          <w:tcPr>
            <w:tcW w:type="dxa" w:w="3650"/>
            <w:vAlign w:val="top"/>
            <w:tcMar>
              <w:top w:w="80" w:type="dxa"/>
              <w:bottom w:w="80" w:type="dxa"/>
              <w:start w:w="120" w:type="dxa"/>
              <w:end w:w="120" w:type="dxa"/>
            </w:tcMar>
          </w:tcPr>
          <w:p>
            <w:r>
              <w:t>stability gap/comparison</w:t>
            </w:r>
          </w:p>
        </w:tc>
        <w:tc>
          <w:tcPr>
            <w:tcW w:type="dxa" w:w="4660"/>
            <w:vAlign w:val="top"/>
            <w:tcMar>
              <w:top w:w="80" w:type="dxa"/>
              <w:bottom w:w="80" w:type="dxa"/>
              <w:start w:w="120" w:type="dxa"/>
              <w:end w:w="120" w:type="dxa"/>
            </w:tcMar>
          </w:tcPr>
          <w:p>
            <w:r>
              <w:t>within-group variability contrast/comparison</w:t>
            </w:r>
          </w:p>
        </w:tc>
      </w:tr>
      <w:tr>
        <w:trPr>
          <w:cantSplit w:val="true"/>
        </w:trPr>
        <w:tc>
          <w:tcPr>
            <w:tcW w:type="dxa" w:w="1050"/>
            <w:vAlign w:val="top"/>
            <w:tcMar>
              <w:top w:w="80" w:type="dxa"/>
              <w:bottom w:w="80" w:type="dxa"/>
              <w:start w:w="120" w:type="dxa"/>
              <w:end w:w="120" w:type="dxa"/>
            </w:tcMar>
          </w:tcPr>
          <w:p>
            <w:r>
              <w:t>396–402</w:t>
            </w:r>
          </w:p>
        </w:tc>
        <w:tc>
          <w:tcPr>
            <w:tcW w:type="dxa" w:w="3650"/>
            <w:vAlign w:val="top"/>
            <w:tcMar>
              <w:top w:w="80" w:type="dxa"/>
              <w:bottom w:w="80" w:type="dxa"/>
              <w:start w:w="120" w:type="dxa"/>
              <w:end w:w="120" w:type="dxa"/>
            </w:tcMar>
          </w:tcPr>
          <w:p>
            <w:r>
              <w:t>stability or reliability in crop-specific claims</w:t>
            </w:r>
          </w:p>
        </w:tc>
        <w:tc>
          <w:tcPr>
            <w:tcW w:type="dxa" w:w="4660"/>
            <w:vAlign w:val="top"/>
            <w:tcMar>
              <w:top w:w="80" w:type="dxa"/>
              <w:bottom w:w="80" w:type="dxa"/>
              <w:start w:w="120" w:type="dxa"/>
              <w:end w:w="120" w:type="dxa"/>
            </w:tcMar>
          </w:tcPr>
          <w:p>
            <w:r>
              <w:t>within-group variability</w:t>
            </w:r>
          </w:p>
        </w:tc>
      </w:tr>
    </w:tbl>
    <w:p>
      <w:pPr>
        <w:pStyle w:val="Heading2"/>
        <w:keepNext/>
      </w:pPr>
      <w:r>
        <w:t>R3.1  Example paragraph — rev.tex line 316</w:t>
      </w:r>
    </w:p>
    <w:p>
      <w:pPr>
        <w:keepLines/>
      </w:pPr>
      <w:r>
        <w:rPr>
          <w:b/>
          <w:color w:val="1F4D78"/>
        </w:rPr>
        <w:t xml:space="preserve">CURRENT — </w:t>
      </w:r>
      <w:r>
        <w:t>A meta-analysis of variability addresses a different ecological question: are organic crop yields more or less variable (or stable) relative to conventional systems? … lnCVR therefore targets stability relative to average performance.</w:t>
      </w:r>
    </w:p>
    <w:p>
      <w:pPr>
        <w:keepLines/>
      </w:pPr>
      <w:r>
        <w:rPr>
          <w:b/>
          <w:color w:val="1F4D78"/>
        </w:rPr>
        <w:t xml:space="preserve">PROPOSED — </w:t>
      </w:r>
      <w:r>
        <w:t>A meta-analysis of variability addresses a different ecological question: are organic crop yields more or less variable within the reported groups than conventional crop yields? Because yield SD often scales with mean yield, lnCVR is useful here as a measure of within-group variability relative to average performance. The available SDs are not assumed to measure temporal variation.</w:t>
      </w:r>
    </w:p>
    <w:p>
      <w:pPr>
        <w:keepLines/>
      </w:pPr>
      <w:r>
        <w:rPr>
          <w:b/>
          <w:color w:val="1F4D78"/>
        </w:rPr>
        <w:t xml:space="preserve">WHY — </w:t>
      </w:r>
      <w:r>
        <w:t>This makes the outcome target explicit at its first dataset-specific interpretation.</w:t>
      </w:r>
    </w:p>
    <w:p>
      <w:pPr>
        <w:pStyle w:val="Heading1"/>
      </w:pPr>
      <w:r>
        <w:t>R22 — Applicability to other effect measures</w:t>
      </w:r>
    </w:p>
    <w:p>
      <w:pPr>
        <w:keepLines/>
      </w:pPr>
      <w:r>
        <w:rPr>
          <w:b/>
          <w:color w:val="1F4D78"/>
        </w:rPr>
        <w:t xml:space="preserve">REVIEWER COMMENT — </w:t>
      </w:r>
      <w:r>
        <w:t>Expand the discussion of standardised mean differences and state whether the workflow applies to odds ratios, associations, correlations and Fisher’s z.</w:t>
      </w:r>
    </w:p>
    <w:p>
      <w:pPr>
        <w:pStyle w:val="Heading2"/>
      </w:pPr>
      <w:r>
        <w:t>Proposed response to R22</w:t>
      </w:r>
    </w:p>
    <w:p>
      <w:r>
        <w:t>We thank the reviewer for this suggestion. We have expanded the scope discussion to distinguish the multilevel location/heterogeneity model from the complete mean-versus-variability workflow. Mean-effect measures such as the standardised mean difference, odds ratio and Fisher’s z-transformed correlation can be analysed with multilevel meta-regression, including moderator-dependent residual or study-level heterogeneity where the data support it. However, those effect measures do not by themselves provide a direct contrast in within-group variability. The full four-analysis workflow therefore requires an additional dispersion-focused effect size, such as lnVR or lnCVR, calculated from suitable group-level summary data. We now state this limitation explicitly and clarify the special role of SDs in the standardised mean difference.</w:t>
      </w:r>
    </w:p>
    <w:p>
      <w:pPr>
        <w:pStyle w:val="Heading2"/>
        <w:keepNext/>
      </w:pPr>
      <w:r>
        <w:t>R22.1  Insert after SMD paragraph — rev.tex line 186; PDF p.7, lines 127–136</w:t>
      </w:r>
    </w:p>
    <w:p>
      <w:pPr>
        <w:keepLines/>
      </w:pPr>
      <w:r>
        <w:rPr>
          <w:b/>
          <w:color w:val="1F4D78"/>
        </w:rPr>
        <w:t xml:space="preserve">CURRENT — </w:t>
      </w:r>
      <w:r>
        <w:t>No paragraph currently defines the applicability boundary for odds ratios or correlations/Fisher’s z.</w:t>
      </w:r>
    </w:p>
    <w:p>
      <w:pPr>
        <w:keepLines/>
      </w:pPr>
      <w:r>
        <w:rPr>
          <w:b/>
          <w:color w:val="1F4D78"/>
        </w:rPr>
        <w:t xml:space="preserve">PROPOSED — </w:t>
      </w:r>
      <w:r>
        <w:t>The full workflow is most direct for two-group studies reporting means and standard deviations, because a mean-effect measure such as lnRR or the standardised mean difference can be paired with lnVR or lnCVR. Standardised mean differences use pooled within-group variation to scale a mean contrast, but do not themselves estimate a between-group variability contrast. Odds ratios and correlations, commonly transformed to Fisher’s z, can be fitted in multilevel location and heterogeneity models, including models in which residual or study-level heterogeneity varies with moderators. However, these measures alone do not provide the same mean-versus-variability decomposition without a separate dispersion-focused effect size.</w:t>
      </w:r>
    </w:p>
    <w:p>
      <w:pPr>
        <w:keepLines/>
      </w:pPr>
      <w:r>
        <w:rPr>
          <w:b/>
          <w:color w:val="1F4D78"/>
        </w:rPr>
        <w:t xml:space="preserve">WHY — </w:t>
      </w:r>
      <w:r>
        <w:t>This answers the requested measures directly without implying universal availability of the four-part workflow.</w:t>
      </w:r>
    </w:p>
    <w:p>
      <w:pPr>
        <w:pStyle w:val="Heading2"/>
        <w:keepNext/>
      </w:pPr>
      <w:r>
        <w:t>R22.2  Box 2 boundary — insert after rev.tex line 358</w:t>
      </w:r>
    </w:p>
    <w:p>
      <w:pPr>
        <w:keepLines/>
      </w:pPr>
      <w:r>
        <w:rPr>
          <w:b/>
          <w:color w:val="1F4D78"/>
        </w:rPr>
        <w:t xml:space="preserve">CURRENT — </w:t>
      </w:r>
      <w:r>
        <w:t>The Box currently moves from raw proportion/count distributional regression to a broad statement about location-scale analysis.</w:t>
      </w:r>
    </w:p>
    <w:p>
      <w:pPr>
        <w:keepLines/>
      </w:pPr>
      <w:r>
        <w:rPr>
          <w:b/>
          <w:color w:val="1F4D78"/>
        </w:rPr>
        <w:t xml:space="preserve">PROPOSED — </w:t>
      </w:r>
      <w:r>
        <w:t>Distributional regression for raw proportions or counts is conceptually related, but it is not identical to meta-regression of odds ratios, correlations or Fisher’s z; the latter require effect-size-specific sampling models and do not automatically provide a within-group variability contrast.</w:t>
      </w:r>
    </w:p>
    <w:p>
      <w:pPr>
        <w:keepLines/>
      </w:pPr>
      <w:r>
        <w:rPr>
          <w:b/>
          <w:color w:val="1F4D78"/>
        </w:rPr>
        <w:t xml:space="preserve">WHY — </w:t>
      </w:r>
      <w:r>
        <w:t>This prevents the broader Box from undoing the scope boundary added above.</w:t>
      </w:r>
    </w:p>
    <w:p>
      <w:pPr>
        <w:pStyle w:val="Heading1"/>
      </w:pPr>
      <w:r>
        <w:t>Insertion and sequencing</w:t>
      </w:r>
    </w:p>
    <w:p>
      <w:r>
        <w:t>Recommended placement: add Box 3, ‘Extending location–scale models: where does heterogeneity occur?’, after the Model 3/Model 4 results and Figure 3, immediately before the conclusion. This lets Equations 15–17 establish the original residual-scale model and lets Box 3 extend the same notation to separate between-study and within-study scale sub-models. The Box then interprets the lnRR and lnCVR results as examples of where moderator-dependent heterogeneity occurs. Add a short forward reference to Box 3 after Equations 15–17 and in the conclusion. The Box requires tcolorbox with the breakable and skins libraries; the minimal preamble line is \usepackage[breakable,skins]{tcolorbox}.</w:t>
      </w:r>
    </w:p>
    <w:p>
      <w:r>
        <w:t>The change set is intentionally surgical: one new Box, one R22 scope paragraph, one Box 2 boundary sentence, one systematic terminology correction for R3, and substitutions only where the current residual-scale wording overreaches into study-level transferability.</w:t>
      </w:r>
    </w:p>
    <w:p>
      <w:pPr>
        <w:pStyle w:val="Heading1"/>
      </w:pPr>
      <w:r>
        <w:t>Evidence used for the numerical revisions</w:t>
      </w:r>
    </w:p>
    <w:tbl>
      <w:tblPr>
        <w:tblW w:type="dxa" w:w="9360"/>
        <w:jc w:val="left"/>
        <w:tblLayout w:type="fixed"/>
        <w:tblLook w:firstColumn="1" w:firstRow="1" w:lastColumn="0" w:lastRow="0" w:noHBand="0" w:noVBand="1" w:val="04A0"/>
        <w:tblInd w:type="dxa" w:w="120"/>
      </w:tblPr>
      <w:tblGrid>
        <w:gridCol w:w="1200"/>
        <w:gridCol w:w="2100"/>
        <w:gridCol w:w="2450"/>
        <w:gridCol w:w="3610"/>
      </w:tblGrid>
      <w:tr>
        <w:trPr>
          <w:tblHeader w:val="true"/>
        </w:trPr>
        <w:tc>
          <w:tcPr>
            <w:tcW w:type="dxa" w:w="1200"/>
            <w:vAlign w:val="top"/>
            <w:tcMar>
              <w:top w:w="80" w:type="dxa"/>
              <w:bottom w:w="80" w:type="dxa"/>
              <w:start w:w="120" w:type="dxa"/>
              <w:end w:w="120" w:type="dxa"/>
            </w:tcMar>
            <w:shd w:fill="E8EEF5"/>
          </w:tcPr>
          <w:p>
            <w:r>
              <w:rPr>
                <w:b/>
              </w:rPr>
              <w:t>Outcome</w:t>
            </w:r>
          </w:p>
        </w:tc>
        <w:tc>
          <w:tcPr>
            <w:tcW w:type="dxa" w:w="2100"/>
            <w:vAlign w:val="top"/>
            <w:tcMar>
              <w:top w:w="80" w:type="dxa"/>
              <w:bottom w:w="80" w:type="dxa"/>
              <w:start w:w="120" w:type="dxa"/>
              <w:end w:w="120" w:type="dxa"/>
            </w:tcMar>
            <w:shd w:fill="E8EEF5"/>
          </w:tcPr>
          <w:p>
            <w:r>
              <w:rPr>
                <w:b/>
              </w:rPr>
              <w:t>Component</w:t>
            </w:r>
          </w:p>
        </w:tc>
        <w:tc>
          <w:tcPr>
            <w:tcW w:type="dxa" w:w="2450"/>
            <w:vAlign w:val="top"/>
            <w:tcMar>
              <w:top w:w="80" w:type="dxa"/>
              <w:bottom w:w="80" w:type="dxa"/>
              <w:start w:w="120" w:type="dxa"/>
              <w:end w:w="120" w:type="dxa"/>
            </w:tcMar>
            <w:shd w:fill="E8EEF5"/>
          </w:tcPr>
          <w:p>
            <w:r>
              <w:rPr>
                <w:b/>
              </w:rPr>
              <w:t>Plant/animal SD</w:t>
            </w:r>
          </w:p>
        </w:tc>
        <w:tc>
          <w:tcPr>
            <w:tcW w:type="dxa" w:w="3610"/>
            <w:vAlign w:val="top"/>
            <w:tcMar>
              <w:top w:w="80" w:type="dxa"/>
              <w:bottom w:w="80" w:type="dxa"/>
              <w:start w:w="120" w:type="dxa"/>
              <w:end w:w="120" w:type="dxa"/>
            </w:tcMar>
            <w:shd w:fill="E8EEF5"/>
          </w:tcPr>
          <w:p>
            <w:r>
              <w:rPr>
                <w:b/>
              </w:rPr>
              <w:t>Interpretation</w:t>
            </w:r>
          </w:p>
        </w:tc>
      </w:tr>
      <w:tr>
        <w:trPr>
          <w:cantSplit w:val="true"/>
        </w:trPr>
        <w:tc>
          <w:tcPr>
            <w:tcW w:type="dxa" w:w="1200"/>
            <w:vAlign w:val="top"/>
            <w:tcMar>
              <w:top w:w="80" w:type="dxa"/>
              <w:bottom w:w="80" w:type="dxa"/>
              <w:start w:w="120" w:type="dxa"/>
              <w:end w:w="120" w:type="dxa"/>
            </w:tcMar>
          </w:tcPr>
          <w:p>
            <w:r>
              <w:t>lnRR</w:t>
            </w:r>
          </w:p>
        </w:tc>
        <w:tc>
          <w:tcPr>
            <w:tcW w:type="dxa" w:w="2100"/>
            <w:vAlign w:val="top"/>
            <w:tcMar>
              <w:top w:w="80" w:type="dxa"/>
              <w:bottom w:w="80" w:type="dxa"/>
              <w:start w:w="120" w:type="dxa"/>
              <w:end w:w="120" w:type="dxa"/>
            </w:tcMar>
          </w:tcPr>
          <w:p>
            <w:r>
              <w:t>Residual</w:t>
            </w:r>
          </w:p>
        </w:tc>
        <w:tc>
          <w:tcPr>
            <w:tcW w:type="dxa" w:w="2450"/>
            <w:vAlign w:val="top"/>
            <w:tcMar>
              <w:top w:w="80" w:type="dxa"/>
              <w:bottom w:w="80" w:type="dxa"/>
              <w:start w:w="120" w:type="dxa"/>
              <w:end w:w="120" w:type="dxa"/>
            </w:tcMar>
          </w:tcPr>
          <w:p>
            <w:r>
              <w:t>1.14 [0.94, 1.40]</w:t>
            </w:r>
          </w:p>
        </w:tc>
        <w:tc>
          <w:tcPr>
            <w:tcW w:type="dxa" w:w="3610"/>
            <w:vAlign w:val="top"/>
            <w:tcMar>
              <w:top w:w="80" w:type="dxa"/>
              <w:bottom w:w="80" w:type="dxa"/>
              <w:start w:w="120" w:type="dxa"/>
              <w:end w:w="120" w:type="dxa"/>
            </w:tcMar>
          </w:tcPr>
          <w:p>
            <w:r>
              <w:t>Uncertain</w:t>
            </w:r>
          </w:p>
        </w:tc>
      </w:tr>
      <w:tr>
        <w:trPr>
          <w:cantSplit w:val="true"/>
        </w:trPr>
        <w:tc>
          <w:tcPr>
            <w:tcW w:type="dxa" w:w="1200"/>
            <w:vAlign w:val="top"/>
            <w:tcMar>
              <w:top w:w="80" w:type="dxa"/>
              <w:bottom w:w="80" w:type="dxa"/>
              <w:start w:w="120" w:type="dxa"/>
              <w:end w:w="120" w:type="dxa"/>
            </w:tcMar>
          </w:tcPr>
          <w:p>
            <w:r>
              <w:t>lnRR</w:t>
            </w:r>
          </w:p>
        </w:tc>
        <w:tc>
          <w:tcPr>
            <w:tcW w:type="dxa" w:w="2100"/>
            <w:vAlign w:val="top"/>
            <w:tcMar>
              <w:top w:w="80" w:type="dxa"/>
              <w:bottom w:w="80" w:type="dxa"/>
              <w:start w:w="120" w:type="dxa"/>
              <w:end w:w="120" w:type="dxa"/>
            </w:tcMar>
          </w:tcPr>
          <w:p>
            <w:r>
              <w:t>Study</w:t>
            </w:r>
          </w:p>
        </w:tc>
        <w:tc>
          <w:tcPr>
            <w:tcW w:type="dxa" w:w="2450"/>
            <w:vAlign w:val="top"/>
            <w:tcMar>
              <w:top w:w="80" w:type="dxa"/>
              <w:bottom w:w="80" w:type="dxa"/>
              <w:start w:w="120" w:type="dxa"/>
              <w:end w:w="120" w:type="dxa"/>
            </w:tcMar>
          </w:tcPr>
          <w:p>
            <w:r>
              <w:t>2.18 [1.11, 5.55]</w:t>
            </w:r>
          </w:p>
        </w:tc>
        <w:tc>
          <w:tcPr>
            <w:tcW w:type="dxa" w:w="3610"/>
            <w:vAlign w:val="top"/>
            <w:tcMar>
              <w:top w:w="80" w:type="dxa"/>
              <w:bottom w:w="80" w:type="dxa"/>
              <w:start w:w="120" w:type="dxa"/>
              <w:end w:w="120" w:type="dxa"/>
            </w:tcMar>
          </w:tcPr>
          <w:p>
            <w:r>
              <w:t>Greater under plant; study-level mean less transferable, with qualification</w:t>
            </w:r>
          </w:p>
        </w:tc>
      </w:tr>
      <w:tr>
        <w:trPr>
          <w:cantSplit w:val="true"/>
        </w:trPr>
        <w:tc>
          <w:tcPr>
            <w:tcW w:type="dxa" w:w="1200"/>
            <w:vAlign w:val="top"/>
            <w:tcMar>
              <w:top w:w="80" w:type="dxa"/>
              <w:bottom w:w="80" w:type="dxa"/>
              <w:start w:w="120" w:type="dxa"/>
              <w:end w:w="120" w:type="dxa"/>
            </w:tcMar>
          </w:tcPr>
          <w:p>
            <w:r>
              <w:t>lnCVR</w:t>
            </w:r>
          </w:p>
        </w:tc>
        <w:tc>
          <w:tcPr>
            <w:tcW w:type="dxa" w:w="2100"/>
            <w:vAlign w:val="top"/>
            <w:tcMar>
              <w:top w:w="80" w:type="dxa"/>
              <w:bottom w:w="80" w:type="dxa"/>
              <w:start w:w="120" w:type="dxa"/>
              <w:end w:w="120" w:type="dxa"/>
            </w:tcMar>
          </w:tcPr>
          <w:p>
            <w:r>
              <w:t>Residual</w:t>
            </w:r>
          </w:p>
        </w:tc>
        <w:tc>
          <w:tcPr>
            <w:tcW w:type="dxa" w:w="2450"/>
            <w:vAlign w:val="top"/>
            <w:tcMar>
              <w:top w:w="80" w:type="dxa"/>
              <w:bottom w:w="80" w:type="dxa"/>
              <w:start w:w="120" w:type="dxa"/>
              <w:end w:w="120" w:type="dxa"/>
            </w:tcMar>
          </w:tcPr>
          <w:p>
            <w:r>
              <w:t>1.67 [1.18, 2.34]</w:t>
            </w:r>
          </w:p>
        </w:tc>
        <w:tc>
          <w:tcPr>
            <w:tcW w:type="dxa" w:w="3610"/>
            <w:vAlign w:val="top"/>
            <w:tcMar>
              <w:top w:w="80" w:type="dxa"/>
              <w:bottom w:w="80" w:type="dxa"/>
              <w:start w:w="120" w:type="dxa"/>
              <w:end w:w="120" w:type="dxa"/>
            </w:tcMar>
          </w:tcPr>
          <w:p>
            <w:r>
              <w:t>Greater under plant</w:t>
            </w:r>
          </w:p>
        </w:tc>
      </w:tr>
      <w:tr>
        <w:trPr>
          <w:cantSplit w:val="true"/>
        </w:trPr>
        <w:tc>
          <w:tcPr>
            <w:tcW w:type="dxa" w:w="1200"/>
            <w:vAlign w:val="top"/>
            <w:tcMar>
              <w:top w:w="80" w:type="dxa"/>
              <w:bottom w:w="80" w:type="dxa"/>
              <w:start w:w="120" w:type="dxa"/>
              <w:end w:w="120" w:type="dxa"/>
            </w:tcMar>
          </w:tcPr>
          <w:p>
            <w:r>
              <w:t>lnCVR</w:t>
            </w:r>
          </w:p>
        </w:tc>
        <w:tc>
          <w:tcPr>
            <w:tcW w:type="dxa" w:w="2100"/>
            <w:vAlign w:val="top"/>
            <w:tcMar>
              <w:top w:w="80" w:type="dxa"/>
              <w:bottom w:w="80" w:type="dxa"/>
              <w:start w:w="120" w:type="dxa"/>
              <w:end w:w="120" w:type="dxa"/>
            </w:tcMar>
          </w:tcPr>
          <w:p>
            <w:r>
              <w:t>Study</w:t>
            </w:r>
          </w:p>
        </w:tc>
        <w:tc>
          <w:tcPr>
            <w:tcW w:type="dxa" w:w="2450"/>
            <w:vAlign w:val="top"/>
            <w:tcMar>
              <w:top w:w="80" w:type="dxa"/>
              <w:bottom w:w="80" w:type="dxa"/>
              <w:start w:w="120" w:type="dxa"/>
              <w:end w:w="120" w:type="dxa"/>
            </w:tcMar>
          </w:tcPr>
          <w:p>
            <w:r>
              <w:t>1.05 [0.10, 8.63]</w:t>
            </w:r>
          </w:p>
        </w:tc>
        <w:tc>
          <w:tcPr>
            <w:tcW w:type="dxa" w:w="3610"/>
            <w:vAlign w:val="top"/>
            <w:tcMar>
              <w:top w:w="80" w:type="dxa"/>
              <w:bottom w:w="80" w:type="dxa"/>
              <w:start w:w="120" w:type="dxa"/>
              <w:end w:w="120" w:type="dxa"/>
            </w:tcMar>
          </w:tcPr>
          <w:p>
            <w:r>
              <w:t>Unresolved; no difference shown for the study-level mean</w:t>
            </w:r>
          </w:p>
        </w:tc>
      </w:tr>
    </w:tbl>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A"/>
        <w:sz w:val="18"/>
      </w:rPr>
      <w:t>Manuscript change map  •  27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A626A"/>
        <w:sz w:val="18"/>
      </w:rPr>
      <w:t>BIOLOGY OPEN REVISION  |  R2, R3 AND R22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C27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Change Map: R2, R3 and R22</dc:title>
  <dc:subject>Exact revisions and reviewer-response material</dc:subject>
  <dc:creator>Revision team</dc:creator>
  <cp:keywords>meta-analysis, location-scale, reviewer response, manuscript revision</cp:keywords>
  <dc:description>generated by python-docx</dc:description>
  <cp:lastModifiedBy/>
  <cp:revision>1</cp:revision>
  <dcterms:created xsi:type="dcterms:W3CDTF">2013-12-23T23:15:00Z</dcterms:created>
  <dcterms:modified xsi:type="dcterms:W3CDTF">2013-12-23T23:15:00Z</dcterms:modified>
  <cp:category/>
</cp:coreProperties>
</file>