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  <w:bdr w:val="none" w:sz="0" w:space="0" w:color="auto" w:frame="1"/>
        </w:rPr>
      </w:pPr>
      <w:r w:rsidRPr="00E51B64"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  <w:bdr w:val="none" w:sz="0" w:space="0" w:color="auto" w:frame="1"/>
        </w:rPr>
        <w:t>TUGAS TUTON 1</w:t>
      </w: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</w:pPr>
      <w:r w:rsidRPr="00E51B64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 xml:space="preserve">Mata </w:t>
      </w:r>
      <w:proofErr w:type="spellStart"/>
      <w:proofErr w:type="gramStart"/>
      <w:r w:rsidRPr="00E51B64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>Kuliah</w:t>
      </w:r>
      <w:proofErr w:type="spellEnd"/>
      <w:r w:rsidRPr="00E51B64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 xml:space="preserve"> :</w:t>
      </w:r>
      <w:proofErr w:type="gramEnd"/>
      <w:r w:rsidRPr="00E51B64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 xml:space="preserve"> MKWU 4101 </w:t>
      </w:r>
      <w:proofErr w:type="spellStart"/>
      <w:r w:rsidRPr="00E51B64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>Pendidikan</w:t>
      </w:r>
      <w:proofErr w:type="spellEnd"/>
      <w:r w:rsidRPr="00E51B64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</w:rPr>
        <w:t xml:space="preserve"> Agama Islam</w:t>
      </w: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5"/>
          <w:sz w:val="32"/>
          <w:szCs w:val="32"/>
          <w:bdr w:val="none" w:sz="0" w:space="0" w:color="auto" w:frame="1"/>
        </w:rPr>
      </w:pPr>
      <w:proofErr w:type="gramStart"/>
      <w:r w:rsidRPr="00E51B64">
        <w:rPr>
          <w:rFonts w:ascii="Times New Roman" w:eastAsia="Times New Roman" w:hAnsi="Times New Roman" w:cs="Times New Roman"/>
          <w:spacing w:val="-15"/>
          <w:sz w:val="32"/>
          <w:szCs w:val="32"/>
          <w:bdr w:val="none" w:sz="0" w:space="0" w:color="auto" w:frame="1"/>
        </w:rPr>
        <w:t>Tutor :</w:t>
      </w:r>
      <w:proofErr w:type="gramEnd"/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5"/>
          <w:sz w:val="32"/>
          <w:szCs w:val="32"/>
          <w:bdr w:val="none" w:sz="0" w:space="0" w:color="auto" w:frame="1"/>
        </w:rPr>
      </w:pPr>
      <w:proofErr w:type="spellStart"/>
      <w:r w:rsidRPr="00E51B64">
        <w:rPr>
          <w:rFonts w:ascii="Times New Roman" w:eastAsia="Times New Roman" w:hAnsi="Times New Roman" w:cs="Times New Roman"/>
          <w:spacing w:val="-15"/>
          <w:sz w:val="32"/>
          <w:szCs w:val="32"/>
          <w:bdr w:val="none" w:sz="0" w:space="0" w:color="auto" w:frame="1"/>
        </w:rPr>
        <w:t>Siti</w:t>
      </w:r>
      <w:proofErr w:type="spellEnd"/>
      <w:r w:rsidRPr="00E51B64">
        <w:rPr>
          <w:rFonts w:ascii="Times New Roman" w:eastAsia="Times New Roman" w:hAnsi="Times New Roman" w:cs="Times New Roman"/>
          <w:spacing w:val="-15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spacing w:val="-15"/>
          <w:sz w:val="32"/>
          <w:szCs w:val="32"/>
          <w:bdr w:val="none" w:sz="0" w:space="0" w:color="auto" w:frame="1"/>
        </w:rPr>
        <w:t>Badriah</w:t>
      </w:r>
      <w:proofErr w:type="spellEnd"/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5"/>
          <w:sz w:val="32"/>
          <w:szCs w:val="32"/>
          <w:bdr w:val="none" w:sz="0" w:space="0" w:color="auto" w:frame="1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22"/>
          <w:szCs w:val="122"/>
        </w:rPr>
      </w:pPr>
      <w:r w:rsidRPr="00E51B64">
        <w:rPr>
          <w:rFonts w:ascii="Times New Roman" w:eastAsia="Times New Roman" w:hAnsi="Times New Roman" w:cs="Times New Roman"/>
          <w:noProof/>
          <w:sz w:val="122"/>
          <w:szCs w:val="122"/>
        </w:rPr>
        <w:drawing>
          <wp:inline distT="0" distB="0" distL="0" distR="0" wp14:anchorId="77420C34" wp14:editId="3BDB2C1D">
            <wp:extent cx="3084195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22"/>
          <w:szCs w:val="122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Style w:val="a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E51B64">
        <w:rPr>
          <w:rStyle w:val="a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Oleh</w:t>
      </w:r>
      <w:proofErr w:type="spellEnd"/>
      <w:r w:rsidRPr="00E51B64">
        <w:rPr>
          <w:rStyle w:val="a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Style w:val="a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eastAsia="Times New Roman"/>
          <w:u w:val="single"/>
        </w:rPr>
      </w:pPr>
      <w:r w:rsidRPr="00E51B64">
        <w:rPr>
          <w:rFonts w:ascii="Times New Roman" w:eastAsia="Times New Roman" w:hAnsi="Times New Roman" w:cs="Times New Roman"/>
          <w:sz w:val="32"/>
          <w:szCs w:val="32"/>
          <w:u w:val="single"/>
        </w:rPr>
        <w:t>DIAH AYU NUR KHASANAH</w:t>
      </w: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E51B64">
        <w:rPr>
          <w:rFonts w:ascii="Times New Roman" w:eastAsia="Times New Roman" w:hAnsi="Times New Roman" w:cs="Times New Roman"/>
          <w:sz w:val="32"/>
          <w:szCs w:val="32"/>
          <w:u w:val="single"/>
        </w:rPr>
        <w:t>049265174</w:t>
      </w: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Program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Studi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Ilmu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Perpustakaan</w:t>
      </w:r>
      <w:proofErr w:type="spellEnd"/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Fakultas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Hukum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,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Ilmu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Sosial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Dan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Ilmu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Politik</w:t>
      </w:r>
      <w:proofErr w:type="spellEnd"/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  <w:bdr w:val="none" w:sz="0" w:space="0" w:color="auto" w:frame="1"/>
        </w:rPr>
      </w:pPr>
      <w:proofErr w:type="spellStart"/>
      <w:r w:rsidRPr="00E51B64"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  <w:bdr w:val="none" w:sz="0" w:space="0" w:color="auto" w:frame="1"/>
        </w:rPr>
        <w:t>Universitas</w:t>
      </w:r>
      <w:proofErr w:type="spellEnd"/>
      <w:r w:rsidRPr="00E51B64"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  <w:bdr w:val="none" w:sz="0" w:space="0" w:color="auto" w:frame="1"/>
        </w:rPr>
        <w:t xml:space="preserve"> Terbuka</w:t>
      </w:r>
    </w:p>
    <w:p w:rsidR="00492965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40"/>
          <w:szCs w:val="40"/>
          <w:bdr w:val="none" w:sz="0" w:space="0" w:color="auto" w:frame="1"/>
        </w:rPr>
      </w:pPr>
      <w:r w:rsidRPr="00E51B64"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  <w:bdr w:val="none" w:sz="0" w:space="0" w:color="auto" w:frame="1"/>
        </w:rPr>
        <w:t>2023</w:t>
      </w: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40"/>
          <w:szCs w:val="40"/>
          <w:bdr w:val="none" w:sz="0" w:space="0" w:color="auto" w:frame="1"/>
        </w:rPr>
      </w:pPr>
    </w:p>
    <w:p w:rsidR="00413466" w:rsidRPr="00E51B64" w:rsidRDefault="00413466" w:rsidP="004134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40"/>
          <w:szCs w:val="40"/>
          <w:bdr w:val="none" w:sz="0" w:space="0" w:color="auto" w:frame="1"/>
        </w:rPr>
      </w:pPr>
    </w:p>
    <w:p w:rsidR="00413466" w:rsidRPr="00E51B64" w:rsidRDefault="00413466" w:rsidP="004134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B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TUGAS 1</w:t>
      </w:r>
    </w:p>
    <w:p w:rsidR="00413466" w:rsidRPr="00E51B64" w:rsidRDefault="00413466" w:rsidP="004134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Tugas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ke-1 yang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wajib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kerjakan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Bacalah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pertanyaan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cermat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jawablah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pertanyaan-pertanyaan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13466" w:rsidRPr="00E51B64" w:rsidRDefault="00413466" w:rsidP="00413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Ibadah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dibagi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ibadah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mahdlah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ibadah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ghairu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mahdlah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pengertian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berikan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masing-masing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ibadah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13466" w:rsidRPr="00E51B64" w:rsidRDefault="00413466" w:rsidP="00413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Tuliskan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ayat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tafsir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menjelaskan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penciptaan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tahapan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penciptaan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menurut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Al-Qur’an!</w:t>
      </w:r>
    </w:p>
    <w:p w:rsidR="00413466" w:rsidRPr="00E51B64" w:rsidRDefault="00413466" w:rsidP="00413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Al-Quran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menyebutkan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istilah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menyebut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istilah-istilah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413466" w:rsidRPr="00E51B64" w:rsidRDefault="00413466" w:rsidP="00413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disebut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khalifah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langkah-langkah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merealisasikan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peran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khalifah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413466" w:rsidRPr="00E51B64" w:rsidRDefault="00413466" w:rsidP="00413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Islam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berjuang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tegaknya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beradab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sejahtera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. 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Jelaskan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prinsip-prinsip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menegakkan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beradab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sejahtera</w:t>
      </w:r>
      <w:proofErr w:type="spellEnd"/>
      <w:r w:rsidRPr="00E51B64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413466" w:rsidRPr="00E51B64" w:rsidRDefault="00413466" w:rsidP="004134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B64"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p w:rsidR="004A1EC2" w:rsidRPr="00E51B64" w:rsidRDefault="004A1EC2" w:rsidP="004134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BMP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Pendidikan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Islam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karya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Nurdin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dkk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(2021)</w:t>
      </w:r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1B64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51B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5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B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51B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B64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mahdhah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ad-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diin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ghairu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mahdhah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ad-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dunya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A1EC2" w:rsidRPr="00E51B64" w:rsidRDefault="004A1EC2" w:rsidP="004A1E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Ibadah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mahdhah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ibadah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menyangkut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urusan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agama,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sebagaimana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melakukannya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sholat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puasa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, zakat, haji</w:t>
      </w:r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dsb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7201E" w:rsidRDefault="004A1EC2" w:rsidP="0037201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ghairu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</w:rPr>
        <w:t>mahdhah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al-'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aadah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adat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kebiasaan</w:t>
      </w:r>
      <w:proofErr w:type="spellEnd"/>
      <w:r w:rsidR="00852F03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ibadah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sifatnya</w:t>
      </w:r>
      <w:proofErr w:type="spellEnd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hal-hal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duniawi</w:t>
      </w:r>
      <w:proofErr w:type="spellEnd"/>
      <w:r w:rsidR="00E51B64" w:rsidRP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perbuatan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lakukan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niat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ikhlas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semata-mata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ta’ala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ibadah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ghairu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mahdhah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menikah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tolong-menolong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silaturahmi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menjenguk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sakit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menyantuni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yatim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fakir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miskin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="00E51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menjauhi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minuman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dikarenakan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takut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ibadah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ghairu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mahdhah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7201E" w:rsidRDefault="0037201E" w:rsidP="0037201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Al-Qur’an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C540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0E0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C540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0E0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Q.S. Al-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Mu’minun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ayat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12-16</w:t>
      </w:r>
      <w:r w:rsidR="00C540E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122666" w:rsidRDefault="00122666" w:rsidP="00122666">
      <w:pPr>
        <w:pStyle w:val="ListParagraph"/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29E5B18" wp14:editId="601958F2">
            <wp:extent cx="4795520" cy="144887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lisan-arab-alquran-surat-al-muminuun-ayat-12-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96" cy="14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CD" w:rsidRDefault="00122666" w:rsidP="001226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: “</w:t>
      </w:r>
      <w:r w:rsidRPr="0012266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2266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12266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22666">
        <w:rPr>
          <w:rFonts w:ascii="Times New Roman" w:hAnsi="Times New Roman" w:cs="Times New Roman"/>
          <w:sz w:val="24"/>
          <w:szCs w:val="24"/>
        </w:rPr>
        <w:t>tela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2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</w:rPr>
        <w:t>saripati</w:t>
      </w:r>
      <w:proofErr w:type="spellEnd"/>
      <w:r w:rsidRPr="001226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266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226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226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2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menjadikannya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saripati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air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mani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kokoh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ahim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air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mani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jadikan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segumpal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darah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segumpal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darah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jadikan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segumpal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daging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segumpal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daging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jadikan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tulang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belulang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tulang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belulang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bungkus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daging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Kami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menjadikannya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(</w:t>
      </w:r>
      <w:proofErr w:type="spellStart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berbentuk</w:t>
      </w:r>
      <w:proofErr w:type="spellEnd"/>
      <w:r w:rsidRPr="00122666">
        <w:rPr>
          <w:rFonts w:ascii="Times New Roman" w:hAnsi="Times New Roman" w:cs="Times New Roman"/>
          <w:sz w:val="24"/>
          <w:szCs w:val="24"/>
          <w:shd w:val="clear" w:color="auto" w:fill="FFFFFF"/>
        </w:rPr>
        <w:t>) lain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Sucilah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sesudah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pasti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mati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dibangkitkan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kiamat</w:t>
      </w:r>
      <w:proofErr w:type="spellEnd"/>
      <w:r w:rsidR="00E23DAE">
        <w:rPr>
          <w:rFonts w:ascii="Times New Roman" w:hAnsi="Times New Roman" w:cs="Times New Roman"/>
          <w:sz w:val="24"/>
          <w:szCs w:val="24"/>
          <w:shd w:val="clear" w:color="auto" w:fill="FFFFFF"/>
        </w:rPr>
        <w:t>.”</w:t>
      </w:r>
    </w:p>
    <w:p w:rsidR="00E23DAE" w:rsidRDefault="00E23DAE" w:rsidP="001226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12-14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Nabi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Adam)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segumpal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tanah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keturunannya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air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mani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terpelihara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rahim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air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mani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berubah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segumpal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darah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tumbuh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segumpal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daging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diberi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tulang-tulang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="00C549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lain.</w:t>
      </w:r>
    </w:p>
    <w:p w:rsidR="00C54955" w:rsidRDefault="00C54955" w:rsidP="001226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15-16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kiamat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C54955" w:rsidRDefault="00C54955" w:rsidP="00C549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arwah</w:t>
      </w:r>
      <w:proofErr w:type="spellEnd"/>
    </w:p>
    <w:p w:rsidR="006D5657" w:rsidRDefault="006D5657" w:rsidP="00C549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Rahim</w:t>
      </w:r>
    </w:p>
    <w:p w:rsidR="006D5657" w:rsidRDefault="006D5657" w:rsidP="00C549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dilahirkan</w:t>
      </w:r>
      <w:proofErr w:type="spellEnd"/>
    </w:p>
    <w:p w:rsidR="006D5657" w:rsidRDefault="006D5657" w:rsidP="00C549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barzakh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akhirat</w:t>
      </w:r>
      <w:proofErr w:type="spellEnd"/>
    </w:p>
    <w:p w:rsidR="006D5657" w:rsidRPr="00122666" w:rsidRDefault="006D5657" w:rsidP="00C549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baqa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akhirat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7201E" w:rsidRDefault="0037201E" w:rsidP="0037201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penyebutan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Al-Qur’an </w:t>
      </w:r>
      <w:proofErr w:type="spellStart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 </w:t>
      </w:r>
      <w:proofErr w:type="spellStart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6D565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6D5657" w:rsidRDefault="006D5657" w:rsidP="006D56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Basyar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mana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disentuh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kebutuhannya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makan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minum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dsb</w:t>
      </w:r>
      <w:proofErr w:type="spellEnd"/>
      <w:r w:rsidR="004763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763C9" w:rsidRDefault="004763C9" w:rsidP="006D56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keturunan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Nabi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Adam</w:t>
      </w:r>
    </w:p>
    <w:p w:rsidR="004763C9" w:rsidRDefault="004763C9" w:rsidP="006D56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bahwasannya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keistimewaan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beban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tanggung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jawab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khalifah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bumi</w:t>
      </w:r>
      <w:proofErr w:type="spellEnd"/>
      <w:r w:rsidR="006E62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C67C5" w:rsidRDefault="006E62A3" w:rsidP="003C67C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Khalifah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khalifah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peran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keserasian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hidupnya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berdampingan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>ekosistem</w:t>
      </w:r>
      <w:proofErr w:type="spellEnd"/>
      <w:r w:rsidR="00AA6F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Langkah-langkah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merealisasikan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peran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lain:</w:t>
      </w:r>
    </w:p>
    <w:p w:rsidR="003C67C5" w:rsidRDefault="003C67C5" w:rsidP="003C67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kelestarian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</w:p>
    <w:p w:rsidR="003C67C5" w:rsidRDefault="003C67C5" w:rsidP="003C67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</w:p>
    <w:p w:rsidR="003C67C5" w:rsidRDefault="003C67C5" w:rsidP="003C67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</w:p>
    <w:p w:rsidR="003C67C5" w:rsidRPr="003C67C5" w:rsidRDefault="003C67C5" w:rsidP="003C67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</w:p>
    <w:p w:rsidR="0037201E" w:rsidRDefault="00F82370" w:rsidP="0037201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beradab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terbebas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adilan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perbudakan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Prinsip-prinsip</w:t>
      </w:r>
      <w:proofErr w:type="spellEnd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7201E">
        <w:rPr>
          <w:rFonts w:ascii="Times New Roman" w:hAnsi="Times New Roman" w:cs="Times New Roman"/>
          <w:sz w:val="24"/>
          <w:szCs w:val="24"/>
          <w:shd w:val="clear" w:color="auto" w:fill="FFFFFF"/>
        </w:rPr>
        <w:t>menegakkan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beradab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C67C5">
        <w:rPr>
          <w:rFonts w:ascii="Times New Roman" w:hAnsi="Times New Roman" w:cs="Times New Roman"/>
          <w:sz w:val="24"/>
          <w:szCs w:val="24"/>
          <w:shd w:val="clear" w:color="auto" w:fill="FFFFFF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F82370" w:rsidRDefault="00F82370" w:rsidP="00F8237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</w:p>
    <w:p w:rsidR="00F82370" w:rsidRDefault="00F82370" w:rsidP="00F8237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supremasi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bulu</w:t>
      </w:r>
      <w:proofErr w:type="spellEnd"/>
    </w:p>
    <w:p w:rsidR="00F82370" w:rsidRDefault="00BA1E07" w:rsidP="00F8237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Egalitarianisme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dihargai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prestasinya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keturunan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golongannya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menganut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1E07" w:rsidRDefault="00BA1E07" w:rsidP="00F8237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Pluralisme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kemajemukan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keberagaman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patut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syukuri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pluralisme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DE57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E57DC" w:rsidRDefault="00DE57DC" w:rsidP="00F8237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Allah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fitrah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mempengaruhinya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kekuasaan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menyeleweng.</w:t>
      </w:r>
      <w:bookmarkStart w:id="0" w:name="_GoBack"/>
      <w:bookmarkEnd w:id="0"/>
    </w:p>
    <w:p w:rsidR="0037201E" w:rsidRDefault="0037201E" w:rsidP="0037201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Nurdin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Ali;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(2021).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Islam. Tangerang Selatan: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Terbuka</w:t>
      </w:r>
    </w:p>
    <w:p w:rsidR="0037201E" w:rsidRDefault="0037201E" w:rsidP="0037201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Kumparan.com (2020).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Mahdhah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Ghairu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Mahdhah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2023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history="1">
        <w:r w:rsidRPr="00A4561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https://kumparan.com/hijab-lifestyle/mengenal-ibadah-mahdhah-dan-ghairu-mahdhah-1uk2zBqzOBw/1</w:t>
        </w:r>
      </w:hyperlink>
    </w:p>
    <w:p w:rsidR="0037201E" w:rsidRPr="0037201E" w:rsidRDefault="0037201E" w:rsidP="0037201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37201E" w:rsidRPr="0037201E" w:rsidSect="00413466">
      <w:pgSz w:w="12240" w:h="15840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4474"/>
    <w:multiLevelType w:val="multilevel"/>
    <w:tmpl w:val="2062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D174B"/>
    <w:multiLevelType w:val="hybridMultilevel"/>
    <w:tmpl w:val="439A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66"/>
    <w:rsid w:val="00122666"/>
    <w:rsid w:val="0037201E"/>
    <w:rsid w:val="003C67C5"/>
    <w:rsid w:val="00413466"/>
    <w:rsid w:val="004763C9"/>
    <w:rsid w:val="00492965"/>
    <w:rsid w:val="004A1EC2"/>
    <w:rsid w:val="006D5657"/>
    <w:rsid w:val="006E62A3"/>
    <w:rsid w:val="00852F03"/>
    <w:rsid w:val="00AA6F20"/>
    <w:rsid w:val="00BA1E07"/>
    <w:rsid w:val="00C03BCD"/>
    <w:rsid w:val="00C540E0"/>
    <w:rsid w:val="00C54955"/>
    <w:rsid w:val="00DE57DC"/>
    <w:rsid w:val="00E23DAE"/>
    <w:rsid w:val="00E51B64"/>
    <w:rsid w:val="00F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5C9B"/>
  <w15:chartTrackingRefBased/>
  <w15:docId w15:val="{F76336DB-8B51-4403-8116-2EACB541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4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13466"/>
  </w:style>
  <w:style w:type="paragraph" w:styleId="ListParagraph">
    <w:name w:val="List Paragraph"/>
    <w:basedOn w:val="Normal"/>
    <w:uiPriority w:val="34"/>
    <w:qFormat/>
    <w:rsid w:val="00413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mparan.com/hijab-lifestyle/mengenal-ibadah-mahdhah-dan-ghairu-mahdhah-1uk2zBqzOBw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 Tech</dc:creator>
  <cp:keywords/>
  <dc:description/>
  <cp:lastModifiedBy>TJA Tech</cp:lastModifiedBy>
  <cp:revision>1</cp:revision>
  <cp:lastPrinted>2023-10-21T00:14:00Z</cp:lastPrinted>
  <dcterms:created xsi:type="dcterms:W3CDTF">2023-10-20T10:13:00Z</dcterms:created>
  <dcterms:modified xsi:type="dcterms:W3CDTF">2023-10-21T00:17:00Z</dcterms:modified>
</cp:coreProperties>
</file>