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Labs Security Policy</w:t>
      </w:r>
    </w:p>
    <w:p>
      <w:r>
        <w:t>Effective: 2024-06-01. Applies to all Aurora Labs employees, contractors, and systems.</w:t>
      </w:r>
    </w:p>
    <w:p>
      <w:pPr>
        <w:pStyle w:val="Heading1"/>
      </w:pPr>
      <w:r>
        <w:t>1. Access control</w:t>
      </w:r>
    </w:p>
    <w:p>
      <w:r>
        <w:t>Access to production systems is granted on a least-privilege basis. All access requires multi-factor authentication (MFA). Production access is reviewed quarterly by the security team.</w:t>
      </w:r>
    </w:p>
    <w:p>
      <w:pPr>
        <w:pStyle w:val="Heading1"/>
      </w:pPr>
      <w:r>
        <w:t>2. Data classification</w:t>
      </w:r>
    </w:p>
    <w:p>
      <w:r>
        <w:t>Data is classified as public, internal, confidential, or restricted. Confidential and restricted data must be encrypted at rest with AES-256 and in transit with TLS 1.2 or newer.</w:t>
      </w:r>
    </w:p>
    <w:p>
      <w:pPr>
        <w:pStyle w:val="Heading1"/>
      </w:pPr>
      <w:r>
        <w:t>3. Incident response</w:t>
      </w:r>
    </w:p>
    <w:p>
      <w:r>
        <w:t>Security incidents are reported to security@auroralabs.example within 1 hour of discovery. The incident response team follows the runbook in the on-call handbook. Customer notification occurs within 72 hours for confirmed breaches of customer data.</w:t>
      </w:r>
    </w:p>
    <w:p>
      <w:pPr>
        <w:pStyle w:val="Heading1"/>
      </w:pPr>
      <w:r>
        <w:t>4. Password and credential policy</w:t>
      </w:r>
    </w:p>
    <w:p>
      <w:r>
        <w:t>Passwords must be at least 16 characters and stored only in the approved password manager. Shared secrets are rotated every 90 days. API keys are scoped and rotated every 180 days.</w:t>
      </w:r>
    </w:p>
    <w:p>
      <w:pPr>
        <w:pStyle w:val="Heading1"/>
      </w:pPr>
      <w:r>
        <w:t>5. Vendor and third-party risk</w:t>
      </w:r>
    </w:p>
    <w:p>
      <w:r>
        <w:t>Third parties with access to Aurora Labs data must sign a security addendum and complete an annual security review. High-risk vendors are reviewed by the security team before onboarding.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