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Labs Information Security Policy</w:t>
      </w:r>
    </w:p>
    <w:p>
      <w:r>
        <w:t>Effective 2025-03-01. Owner: Chief Information Security Officer. This policy is reviewed annually and on any material change to the platform.</w:t>
      </w:r>
    </w:p>
    <w:p>
      <w:pPr>
        <w:pStyle w:val="Heading1"/>
      </w:pPr>
      <w:r>
        <w:t>Purpose and scope</w:t>
      </w:r>
    </w:p>
    <w:p>
      <w:r>
        <w:t>This Information Security Policy defines the security controls that protect the Aurora Labs platform and the customer data it processes. It applies to all employees, contractors, and systems that touch the production environment, including the Atlas, Beacon, and Nimbus services and the supporting infrastructure.</w:t>
      </w:r>
    </w:p>
    <w:p>
      <w:pPr>
        <w:pStyle w:val="Heading1"/>
      </w:pPr>
      <w:r>
        <w:t>Access control</w:t>
      </w:r>
    </w:p>
    <w:p>
      <w:r>
        <w:t>Access to production systems is granted on a least-privilege basis and requires multi-factor authentication. Production access is requested through the access management tool and approved by the service owner. Access is reviewed quarterly, and revoked within 24 hours of an employee departing. Service accounts use short-lived credentials that rotate automatically every 90 days. Privileged access sessions are recorded and audited.</w:t>
      </w:r>
    </w:p>
    <w:p>
      <w:pPr>
        <w:pStyle w:val="Heading1"/>
      </w:pPr>
      <w:r>
        <w:t>Data protection</w:t>
      </w:r>
    </w:p>
    <w:p>
      <w:r>
        <w:t>Customer data is encrypted at rest with AES-256 and in transit with TLS 1.2+. Backups are encrypted and stored in a separate region from the primary data. Data is retained per the privacy policy retention schedule and deleted within 30 days of the retention window expiring. Access to customer data by staff is limited to the support and engineering roles that require it, is logged, and is reviewed for anomalous patterns. API keys used by integrations must be rotated every 180 days, enforced by the key management service which revokes keys that exceed the rotation window.</w:t>
      </w:r>
    </w:p>
    <w:p>
      <w:pPr>
        <w:pStyle w:val="Heading1"/>
      </w:pPr>
      <w:r>
        <w:t>Change management</w:t>
      </w:r>
    </w:p>
    <w:p>
      <w:r>
        <w:t>Changes to production follow a change management process. Code changes require a peer review and pass the automated test suite before merging. Deployments are automated and canary-based, with automatic rollback on error-rate thresholds. Infrastructure changes are made through infrastructure-as-code and reviewed in the same pull-request process as code. Emergency changes require a post-change review within 5 business days.</w:t>
      </w:r>
    </w:p>
    <w:p>
      <w:pPr>
        <w:pStyle w:val="Heading1"/>
      </w:pPr>
      <w:r>
        <w:t>Incident response</w:t>
      </w:r>
    </w:p>
    <w:p>
      <w:r>
        <w:t>Security incidents are handled under the incident response process described in the incident runbook, with the security team leading. Suspected incidents are reported to the security on-call immediately. Notifications to customers and authorities follow the timelines in the GDPR FAQ and the DPA: customers within 72 hours of confirmation, and supervisory authorities where the GDPR requires it.</w:t>
      </w:r>
    </w:p>
    <w:p>
      <w:pPr>
        <w:pStyle w:val="Heading1"/>
      </w:pPr>
      <w:r>
        <w:t>Vendor management</w:t>
      </w:r>
    </w:p>
    <w:p>
      <w:r>
        <w:t>Third-party vendors with access to customer data are reviewed before onboarding, including a security questionnaire and, for higher-risk vendors, review of their SOC 2 report. Vendors are re-reviewed annually, and the subprocessor list is published and updated at least 30 days before a new subprocessor is added.</w:t>
      </w:r>
    </w:p>
    <w:p>
      <w:pPr>
        <w:pStyle w:val="Heading1"/>
      </w:pPr>
      <w:r>
        <w:t>Training and awareness</w:t>
      </w:r>
    </w:p>
    <w:p>
      <w:r>
        <w:t>All employees complete annual security and privacy training and acknowledge the acceptable use policy. Engineering teams run a quarterly game day that includes a security scenario. Phishing simulations run quarterly, and employees who fail twice in a year complete additional training.</w:t>
      </w:r>
    </w:p>
    <w:p>
      <w:pPr>
        <w:pStyle w:val="Heading1"/>
      </w:pPr>
      <w:r>
        <w:t>Monitoring and compliance</w:t>
      </w:r>
    </w:p>
    <w:p>
      <w:r>
        <w:t>The security program is audited annually and the SOC 2 Type II report is available to customers under NDA. Monitoring covers authentication, API usage, and data access, with alerting through Beacon. The program is reviewed quarterly by the security committee, and this policy is reviewed annually.</w:t>
      </w:r>
    </w:p>
    <w:p>
      <w:pPr>
        <w:pStyle w:val="Heading1"/>
      </w:pPr>
      <w:r>
        <w:t>Workstation security</w:t>
      </w:r>
    </w:p>
    <w:p>
      <w:r>
        <w:t>Company-managed workstations run a standard build with disk encryption enforced, automatic updates, and endpoint detection and response (EDR) agents. Software installation is restricted to an approved catalog. Employees must lock their screens when unattended and must not connect personal devices to the corporate network except through the approved VPN. Laptop loss or theft is reported to IT within 24 hours so the device can be remotely wiped and the account sessions revoked.</w:t>
      </w:r>
    </w:p>
    <w:p>
      <w:pPr>
        <w:pStyle w:val="Heading1"/>
      </w:pPr>
      <w:r>
        <w:t>Data classification and handling</w:t>
      </w:r>
    </w:p>
    <w:p>
      <w:r>
        <w:t>Data is classified as public, internal, confidential, or restricted. Customer content in production systems is treated as confidential at minimum, and customer content that includes personal data is restricted. Confidential and restricted data are encrypted in transit and at rest, are only stored on approved systems, and are only shared through approved channels. Downloads of production data to personal devices are prohibited; analytics on production data run in the analytics environment with the same access controls as production.</w:t>
      </w:r>
    </w:p>
    <w:p>
      <w:pPr>
        <w:pStyle w:val="Heading1"/>
      </w:pPr>
      <w:r>
        <w:t>Acceptable use</w:t>
      </w:r>
    </w:p>
    <w:p>
      <w:r>
        <w:t>Company systems are provided for business purposes. Occasional personal use is permitted if it does not interfere with work, consume excessive resources, or expose company data. Employees may not use company systems to store personal data of others without a business need, may not install unapproved software, and may not share accounts or credentials. Violations are handled through the disciplinary process and may result in termination for serious or repeated violations.</w:t>
      </w:r>
    </w:p>
    <w:p>
      <w:pPr>
        <w:pStyle w:val="Heading1"/>
      </w:pPr>
      <w:r>
        <w:t>Physical security</w:t>
      </w:r>
    </w:p>
    <w:p>
      <w:r>
        <w:t>Aurora Labs offices use badge-controlled entry, visitor logging, and monitored server rooms. Production infrastructure runs in cloud provider facilities that meet the provider's SOC 2 and ISO 27001 certifications; there is no on-premises production hardware. Employees working from home are expected to use the company VPN for any access to internal systems and to keep their workspace screen-locked when it is not in use. Tailgating and unescorted visitors in secure areas are reported to the facilities team. Office security incidents are reported to People Operations, who coordinate with the security team.</w:t>
      </w:r>
    </w:p>
    <w:p>
      <w:pPr>
        <w:pStyle w:val="Heading1"/>
      </w:pPr>
      <w:r>
        <w:t>Backup and recovery</w:t>
      </w:r>
    </w:p>
    <w:p>
      <w:r>
        <w:t>Customer data is backed up continuously with hourly point-in-time recovery for 30 days and daily backups retained for 12 months. Backups are encrypted and stored in a separate region from the primary data, and restore is tested quarterly through a scheduled restore drill that validates row counts and checksums. Recovery time objectives are documented per service: Atlas recovers in under 4 hours, Nimbus in under 2 hours, and Marina in under 1 hour from the point-in-time store. The backup policy is reviewed annually and when the platform architecture changes materially.</w:t>
      </w:r>
    </w:p>
    <w:p>
      <w:pPr>
        <w:pStyle w:val="Heading1"/>
      </w:pPr>
      <w:r>
        <w:t>Security roles and responsibilities</w:t>
      </w:r>
    </w:p>
    <w:p>
      <w:r>
        <w:t>The Chief Information Security Officer owns this policy and the security program. The security team operates monitoring, incident response, and vendor review. Engineering managers are responsible for the security of the systems their teams build, including code review, dependency updates, and threat modeling of new features. Every employee is responsible for following this policy and reporting suspected incidents. The security committee meets monthly to review metrics, open corrective actions, and changes to the threat landscape, and approves any exception to this policy before it is granted. Exceptions are time-boxed and tracked in the security register.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Labs Information Security Policy</dc:title>
  <dc:subject/>
  <dc:creator>Aurora Labs Security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