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GitHub License Utilization and Dormancy Architecture</w:t>
      </w:r>
    </w:p>
    <w:p>
      <w:pPr>
        <w:pStyle w:val="Subtitle"/>
      </w:pPr>
      <w:r>
        <w:t>Cloud Run GitHub App BigQuery and Grafana design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26"/>
        <w:gridCol w:w="5026"/>
      </w:tblGrid>
      <w:tr>
        <w:trPr>
          <w:tblHeader w:val="true"/>
          <w:cantSplit/>
        </w:trPr>
        <w:tc>
          <w:tcPr>
            <w:tcW w:type="dxa" w:w="2232"/>
            <w:tcMar>
              <w:top w:w="120" w:type="dxa"/>
              <w:start w:w="140" w:type="dxa"/>
              <w:bottom w:w="120" w:type="dxa"/>
              <w:end w:w="140" w:type="dxa"/>
            </w:tcMar>
            <w:vAlign w:val="center"/>
            <w:shd w:fill="444444"/>
          </w:tcPr>
          <w:p>
            <w:pPr>
              <w:jc w:val="left"/>
            </w:pPr>
            <w:r>
              <w:rPr>
                <w:b/>
                <w:color w:val="FFFFFF"/>
                <w:sz w:val="19"/>
              </w:rPr>
              <w:t>Document item</w:t>
            </w:r>
          </w:p>
        </w:tc>
        <w:tc>
          <w:tcPr>
            <w:tcW w:type="dxa" w:w="7632"/>
            <w:tcMar>
              <w:top w:w="120" w:type="dxa"/>
              <w:start w:w="140" w:type="dxa"/>
              <w:bottom w:w="120" w:type="dxa"/>
              <w:end w:w="140" w:type="dxa"/>
            </w:tcMar>
            <w:vAlign w:val="center"/>
            <w:shd w:fill="444444"/>
          </w:tcPr>
          <w:p>
            <w:pPr>
              <w:jc w:val="left"/>
            </w:pPr>
            <w:r>
              <w:rPr>
                <w:b/>
                <w:color w:val="FFFFFF"/>
                <w:sz w:val="19"/>
              </w:rPr>
              <w:t>Value</w:t>
            </w:r>
          </w:p>
        </w:tc>
      </w:tr>
      <w:tr>
        <w:trPr>
          <w:cantSplit/>
        </w:trPr>
        <w:tc>
          <w:tcPr>
            <w:tcW w:type="dxa" w:w="2232"/>
            <w:tcMar>
              <w:top w:w="120" w:type="dxa"/>
              <w:start w:w="140" w:type="dxa"/>
              <w:bottom w:w="120" w:type="dxa"/>
              <w:end w:w="140" w:type="dxa"/>
            </w:tcMar>
            <w:vAlign w:val="center"/>
            <w:shd w:fill="FFFFFF"/>
          </w:tcPr>
          <w:p>
            <w:pPr>
              <w:spacing w:after="0" w:line="240" w:lineRule="auto"/>
            </w:pPr>
            <w:r>
              <w:rPr>
                <w:sz w:val="18"/>
              </w:rPr>
              <w:t>Status</w:t>
            </w:r>
          </w:p>
        </w:tc>
        <w:tc>
          <w:tcPr>
            <w:tcW w:type="dxa" w:w="7632"/>
            <w:tcMar>
              <w:top w:w="120" w:type="dxa"/>
              <w:start w:w="140" w:type="dxa"/>
              <w:bottom w:w="120" w:type="dxa"/>
              <w:end w:w="140" w:type="dxa"/>
            </w:tcMar>
            <w:vAlign w:val="center"/>
            <w:shd w:fill="FFFFFF"/>
          </w:tcPr>
          <w:p>
            <w:pPr>
              <w:spacing w:after="0" w:line="240" w:lineRule="auto"/>
            </w:pPr>
            <w:r>
              <w:rPr>
                <w:sz w:val="18"/>
              </w:rPr>
              <w:t>DEV implementation and stakeholder review</w:t>
            </w:r>
          </w:p>
        </w:tc>
      </w:tr>
      <w:tr>
        <w:trPr>
          <w:cantSplit/>
        </w:trPr>
        <w:tc>
          <w:tcPr>
            <w:tcW w:type="dxa" w:w="2232"/>
            <w:tcMar>
              <w:top w:w="120" w:type="dxa"/>
              <w:start w:w="140" w:type="dxa"/>
              <w:bottom w:w="120" w:type="dxa"/>
              <w:end w:w="140" w:type="dxa"/>
            </w:tcMar>
            <w:vAlign w:val="center"/>
            <w:shd w:fill="EAF2F8"/>
          </w:tcPr>
          <w:p>
            <w:pPr>
              <w:spacing w:after="0" w:line="240" w:lineRule="auto"/>
            </w:pPr>
            <w:r>
              <w:rPr>
                <w:sz w:val="18"/>
              </w:rPr>
              <w:t>Environment</w:t>
            </w:r>
          </w:p>
        </w:tc>
        <w:tc>
          <w:tcPr>
            <w:tcW w:type="dxa" w:w="7632"/>
            <w:tcMar>
              <w:top w:w="120" w:type="dxa"/>
              <w:start w:w="140" w:type="dxa"/>
              <w:bottom w:w="120" w:type="dxa"/>
              <w:end w:w="140" w:type="dxa"/>
            </w:tcMar>
            <w:vAlign w:val="center"/>
            <w:shd w:fill="EAF2F8"/>
          </w:tcPr>
          <w:p>
            <w:pPr>
              <w:spacing w:after="0" w:line="240" w:lineRule="auto"/>
            </w:pPr>
            <w:r>
              <w:rPr>
                <w:sz w:val="18"/>
              </w:rPr>
              <w:t>db-dev-l4to-mp-github</w:t>
            </w:r>
          </w:p>
        </w:tc>
      </w:tr>
      <w:tr>
        <w:trPr>
          <w:cantSplit/>
        </w:trPr>
        <w:tc>
          <w:tcPr>
            <w:tcW w:type="dxa" w:w="2232"/>
            <w:tcMar>
              <w:top w:w="120" w:type="dxa"/>
              <w:start w:w="140" w:type="dxa"/>
              <w:bottom w:w="120" w:type="dxa"/>
              <w:end w:w="140" w:type="dxa"/>
            </w:tcMar>
            <w:vAlign w:val="center"/>
            <w:shd w:fill="FFFFFF"/>
          </w:tcPr>
          <w:p>
            <w:pPr>
              <w:spacing w:after="0" w:line="240" w:lineRule="auto"/>
            </w:pPr>
            <w:r>
              <w:rPr>
                <w:sz w:val="18"/>
              </w:rPr>
              <w:t>Dataset</w:t>
            </w:r>
          </w:p>
        </w:tc>
        <w:tc>
          <w:tcPr>
            <w:tcW w:type="dxa" w:w="7632"/>
            <w:tcMar>
              <w:top w:w="120" w:type="dxa"/>
              <w:start w:w="140" w:type="dxa"/>
              <w:bottom w:w="120" w:type="dxa"/>
              <w:end w:w="140" w:type="dxa"/>
            </w:tcMar>
            <w:vAlign w:val="center"/>
            <w:shd w:fill="FFFFFF"/>
          </w:tcPr>
          <w:p>
            <w:pPr>
              <w:spacing w:after="0" w:line="240" w:lineRule="auto"/>
            </w:pPr>
            <w:r>
              <w:rPr>
                <w:sz w:val="18"/>
              </w:rPr>
              <w:t>github_governance</w:t>
            </w:r>
          </w:p>
        </w:tc>
      </w:tr>
      <w:tr>
        <w:trPr>
          <w:cantSplit/>
        </w:trPr>
        <w:tc>
          <w:tcPr>
            <w:tcW w:type="dxa" w:w="2232"/>
            <w:tcMar>
              <w:top w:w="120" w:type="dxa"/>
              <w:start w:w="140" w:type="dxa"/>
              <w:bottom w:w="120" w:type="dxa"/>
              <w:end w:w="140" w:type="dxa"/>
            </w:tcMar>
            <w:vAlign w:val="center"/>
            <w:shd w:fill="EAF2F8"/>
          </w:tcPr>
          <w:p>
            <w:pPr>
              <w:spacing w:after="0" w:line="240" w:lineRule="auto"/>
            </w:pPr>
            <w:r>
              <w:rPr>
                <w:sz w:val="18"/>
              </w:rPr>
              <w:t>Audience</w:t>
            </w:r>
          </w:p>
        </w:tc>
        <w:tc>
          <w:tcPr>
            <w:tcW w:type="dxa" w:w="7632"/>
            <w:tcMar>
              <w:top w:w="120" w:type="dxa"/>
              <w:start w:w="140" w:type="dxa"/>
              <w:bottom w:w="120" w:type="dxa"/>
              <w:end w:w="140" w:type="dxa"/>
            </w:tcMar>
            <w:vAlign w:val="center"/>
            <w:shd w:fill="EAF2F8"/>
          </w:tcPr>
          <w:p>
            <w:pPr>
              <w:spacing w:after="0" w:line="240" w:lineRule="auto"/>
            </w:pPr>
            <w:r>
              <w:rPr>
                <w:sz w:val="18"/>
              </w:rPr>
              <w:t>GitHub Platform, Governance, Security, Cloud Engineering, and License Operations</w:t>
            </w:r>
          </w:p>
        </w:tc>
      </w:tr>
      <w:tr>
        <w:trPr>
          <w:cantSplit/>
        </w:trPr>
        <w:tc>
          <w:tcPr>
            <w:tcW w:type="dxa" w:w="2232"/>
            <w:tcMar>
              <w:top w:w="120" w:type="dxa"/>
              <w:start w:w="140" w:type="dxa"/>
              <w:bottom w:w="120" w:type="dxa"/>
              <w:end w:w="140" w:type="dxa"/>
            </w:tcMar>
            <w:vAlign w:val="center"/>
            <w:shd w:fill="FFFFFF"/>
          </w:tcPr>
          <w:p>
            <w:pPr>
              <w:spacing w:after="0" w:line="240" w:lineRule="auto"/>
            </w:pPr>
            <w:r>
              <w:rPr>
                <w:sz w:val="18"/>
              </w:rPr>
              <w:t>Last updated</w:t>
            </w:r>
          </w:p>
        </w:tc>
        <w:tc>
          <w:tcPr>
            <w:tcW w:type="dxa" w:w="7632"/>
            <w:tcMar>
              <w:top w:w="120" w:type="dxa"/>
              <w:start w:w="140" w:type="dxa"/>
              <w:bottom w:w="120" w:type="dxa"/>
              <w:end w:w="140" w:type="dxa"/>
            </w:tcMar>
            <w:vAlign w:val="center"/>
            <w:shd w:fill="FFFFFF"/>
          </w:tcPr>
          <w:p>
            <w:pPr>
              <w:spacing w:after="0" w:line="240" w:lineRule="auto"/>
            </w:pPr>
            <w:r>
              <w:rPr>
                <w:sz w:val="18"/>
              </w:rPr>
              <w:t>25 September 2026</w:t>
            </w:r>
          </w:p>
        </w:tc>
      </w:tr>
    </w:tbl>
    <w:p>
      <w:pPr>
        <w:spacing w:after="20"/>
      </w:pPr>
    </w:p>
    <w:p>
      <w:pPr>
        <w:pStyle w:val="Heading1"/>
        <w:keepNext/>
      </w:pPr>
      <w:r>
        <w:t>Executive summary</w:t>
      </w:r>
    </w:p>
    <w:p>
      <w:r>
        <w:t>The proposed solution creates a separate GitHub License Utilization and Dormancy capability on top of the existing audit-log platform. A daily Cloud Run Job retrieves the current enterprise license population through a GitHub App, stores immutable evidence in Cloud Storage, and appends a validated snapshot to Terraform-managed BigQuery tables. Existing streamed audit events provide the activity history. The two datasets are joined only in derived license-intelligence views and are presented through a dedicated Grafana dashboard.</w:t>
      </w:r>
    </w:p>
    <w:p>
      <w:r>
        <w:t>The current design treats a dormant user as a review candidate, not as proof that access should be removed. A 90-day candidate must be currently licensed, pass staff and SCIM eligibility checks, satisfy the applicable activity or authentication policy, and have sufficient supporting data. The first release will not revoke licenses automatically.</w:t>
      </w:r>
    </w:p>
    <w:p>
      <w:pPr>
        <w:pStyle w:val="Heading2"/>
        <w:keepNext/>
      </w:pPr>
      <w:r>
        <w:t>Decisions</w:t>
      </w:r>
    </w:p>
    <w:p>
      <w:pPr>
        <w:pStyle w:val="ListBullet"/>
      </w:pPr>
      <w:r>
        <w:t>Keep license intelligence separate from the Governance Intelligence dashboards while reusing github_audit_events_normalized.</w:t>
      </w:r>
    </w:p>
    <w:p>
      <w:pPr>
        <w:pStyle w:val="ListBullet"/>
      </w:pPr>
      <w:r>
        <w:t>Use a Cloud Run Job and GitHub App rather than BigQuery Data Transfer or per-user GitHub API calls.</w:t>
      </w:r>
    </w:p>
    <w:p>
      <w:pPr>
        <w:pStyle w:val="ListBullet"/>
      </w:pPr>
      <w:r>
        <w:t>Create permanent BigQuery objects only through Terraform. Runtime code may append data and update run metadata but may not create, replace, or delete tables.</w:t>
      </w:r>
    </w:p>
    <w:p>
      <w:pPr>
        <w:pStyle w:val="ListBullet"/>
      </w:pPr>
      <w:r>
        <w:t>Expose only snapshots whose run status is COMPLETE through github_license_users_current.</w:t>
      </w:r>
    </w:p>
    <w:p>
      <w:pPr>
        <w:pStyle w:val="ListBullet"/>
      </w:pPr>
      <w:r>
        <w:t>Require a controlled review, notification, and grace period before any group or license removal.</w:t>
      </w:r>
    </w:p>
    <w:p>
      <w:pPr>
        <w:pStyle w:val="Heading1"/>
        <w:keepNext/>
      </w:pPr>
      <w:r>
        <w:t>Scope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26"/>
        <w:gridCol w:w="5026"/>
      </w:tblGrid>
      <w:tr>
        <w:trPr>
          <w:tblHeader w:val="true"/>
          <w:cantSplit/>
        </w:trPr>
        <w:tc>
          <w:tcPr>
            <w:tcW w:type="dxa" w:w="4925"/>
            <w:tcMar>
              <w:top w:w="120" w:type="dxa"/>
              <w:start w:w="140" w:type="dxa"/>
              <w:bottom w:w="120" w:type="dxa"/>
              <w:end w:w="140" w:type="dxa"/>
            </w:tcMar>
            <w:vAlign w:val="center"/>
            <w:shd w:fill="18364B"/>
          </w:tcPr>
          <w:p>
            <w:pPr>
              <w:jc w:val="left"/>
            </w:pPr>
            <w:r>
              <w:rPr>
                <w:b/>
                <w:color w:val="FFFFFF"/>
                <w:sz w:val="19"/>
              </w:rPr>
              <w:t>In scope</w:t>
            </w:r>
          </w:p>
        </w:tc>
        <w:tc>
          <w:tcPr>
            <w:tcW w:type="dxa" w:w="4925"/>
            <w:tcMar>
              <w:top w:w="120" w:type="dxa"/>
              <w:start w:w="140" w:type="dxa"/>
              <w:bottom w:w="120" w:type="dxa"/>
              <w:end w:w="140" w:type="dxa"/>
            </w:tcMar>
            <w:vAlign w:val="center"/>
            <w:shd w:fill="18364B"/>
          </w:tcPr>
          <w:p>
            <w:pPr>
              <w:jc w:val="left"/>
            </w:pPr>
            <w:r>
              <w:rPr>
                <w:b/>
                <w:color w:val="FFFFFF"/>
                <w:sz w:val="19"/>
              </w:rPr>
              <w:t>Outside the first release</w:t>
            </w:r>
          </w:p>
        </w:tc>
      </w:tr>
      <w:tr>
        <w:trPr>
          <w:cantSplit/>
        </w:trPr>
        <w:tc>
          <w:tcPr>
            <w:tcW w:type="dxa" w:w="4925"/>
            <w:tcMar>
              <w:top w:w="120" w:type="dxa"/>
              <w:start w:w="140" w:type="dxa"/>
              <w:bottom w:w="120" w:type="dxa"/>
              <w:end w:w="140" w:type="dxa"/>
            </w:tcMar>
            <w:vAlign w:val="center"/>
            <w:shd w:fill="FFFFFF"/>
          </w:tcPr>
          <w:p>
            <w:pPr>
              <w:spacing w:after="0" w:line="240" w:lineRule="auto"/>
            </w:pPr>
            <w:r>
              <w:rPr>
                <w:sz w:val="18"/>
              </w:rPr>
              <w:t>Daily consumed-license inventory</w:t>
            </w:r>
          </w:p>
        </w:tc>
        <w:tc>
          <w:tcPr>
            <w:tcW w:type="dxa" w:w="4925"/>
            <w:tcMar>
              <w:top w:w="120" w:type="dxa"/>
              <w:start w:w="140" w:type="dxa"/>
              <w:bottom w:w="120" w:type="dxa"/>
              <w:end w:w="140" w:type="dxa"/>
            </w:tcMar>
            <w:vAlign w:val="center"/>
            <w:shd w:fill="FFFFFF"/>
          </w:tcPr>
          <w:p>
            <w:pPr>
              <w:spacing w:after="0" w:line="240" w:lineRule="auto"/>
            </w:pPr>
            <w:r>
              <w:rPr>
                <w:sz w:val="18"/>
              </w:rPr>
              <w:t>Automatic license or SCIM-group removal</w:t>
            </w:r>
          </w:p>
        </w:tc>
      </w:tr>
      <w:tr>
        <w:trPr>
          <w:cantSplit/>
        </w:trPr>
        <w:tc>
          <w:tcPr>
            <w:tcW w:type="dxa" w:w="4925"/>
            <w:tcMar>
              <w:top w:w="120" w:type="dxa"/>
              <w:start w:w="140" w:type="dxa"/>
              <w:bottom w:w="120" w:type="dxa"/>
              <w:end w:w="140" w:type="dxa"/>
            </w:tcMar>
            <w:vAlign w:val="center"/>
            <w:shd w:fill="EAF2F8"/>
          </w:tcPr>
          <w:p>
            <w:pPr>
              <w:spacing w:after="0" w:line="240" w:lineRule="auto"/>
            </w:pPr>
            <w:r>
              <w:rPr>
                <w:sz w:val="18"/>
              </w:rPr>
              <w:t>30, 45, 60, and 90-day inactivity views</w:t>
            </w:r>
          </w:p>
        </w:tc>
        <w:tc>
          <w:tcPr>
            <w:tcW w:type="dxa" w:w="4925"/>
            <w:tcMar>
              <w:top w:w="120" w:type="dxa"/>
              <w:start w:w="140" w:type="dxa"/>
              <w:bottom w:w="120" w:type="dxa"/>
              <w:end w:w="140" w:type="dxa"/>
            </w:tcMar>
            <w:vAlign w:val="center"/>
            <w:shd w:fill="EAF2F8"/>
          </w:tcPr>
          <w:p>
            <w:pPr>
              <w:spacing w:after="0" w:line="240" w:lineRule="auto"/>
            </w:pPr>
            <w:r>
              <w:rPr>
                <w:sz w:val="18"/>
              </w:rPr>
              <w:t>Replacement of the existing identity-management process</w:t>
            </w:r>
          </w:p>
        </w:tc>
      </w:tr>
      <w:tr>
        <w:trPr>
          <w:cantSplit/>
        </w:trPr>
        <w:tc>
          <w:tcPr>
            <w:tcW w:type="dxa" w:w="4925"/>
            <w:tcMar>
              <w:top w:w="120" w:type="dxa"/>
              <w:start w:w="140" w:type="dxa"/>
              <w:bottom w:w="120" w:type="dxa"/>
              <w:end w:w="140" w:type="dxa"/>
            </w:tcMar>
            <w:vAlign w:val="center"/>
            <w:shd w:fill="FFFFFF"/>
          </w:tcPr>
          <w:p>
            <w:pPr>
              <w:spacing w:after="0" w:line="240" w:lineRule="auto"/>
            </w:pPr>
            <w:r>
              <w:rPr>
                <w:sz w:val="18"/>
              </w:rPr>
              <w:t>Activity and authentication evidence from BigQuery</w:t>
            </w:r>
          </w:p>
        </w:tc>
        <w:tc>
          <w:tcPr>
            <w:tcW w:type="dxa" w:w="4925"/>
            <w:tcMar>
              <w:top w:w="120" w:type="dxa"/>
              <w:start w:w="140" w:type="dxa"/>
              <w:bottom w:w="120" w:type="dxa"/>
              <w:end w:w="140" w:type="dxa"/>
            </w:tcMar>
            <w:vAlign w:val="center"/>
            <w:shd w:fill="FFFFFF"/>
          </w:tcPr>
          <w:p>
            <w:pPr>
              <w:spacing w:after="0" w:line="240" w:lineRule="auto"/>
            </w:pPr>
            <w:r>
              <w:rPr>
                <w:sz w:val="18"/>
              </w:rPr>
              <w:t>A general employee activity-monitoring product</w:t>
            </w:r>
          </w:p>
        </w:tc>
      </w:tr>
      <w:tr>
        <w:trPr>
          <w:cantSplit/>
        </w:trPr>
        <w:tc>
          <w:tcPr>
            <w:tcW w:type="dxa" w:w="4925"/>
            <w:tcMar>
              <w:top w:w="120" w:type="dxa"/>
              <w:start w:w="140" w:type="dxa"/>
              <w:bottom w:w="120" w:type="dxa"/>
              <w:end w:w="140" w:type="dxa"/>
            </w:tcMar>
            <w:vAlign w:val="center"/>
            <w:shd w:fill="EAF2F8"/>
          </w:tcPr>
          <w:p>
            <w:pPr>
              <w:spacing w:after="0" w:line="240" w:lineRule="auto"/>
            </w:pPr>
            <w:r>
              <w:rPr>
                <w:sz w:val="18"/>
              </w:rPr>
              <w:t>Staff, UBR, and SCIM eligibility integration</w:t>
            </w:r>
          </w:p>
        </w:tc>
        <w:tc>
          <w:tcPr>
            <w:tcW w:type="dxa" w:w="4925"/>
            <w:tcMar>
              <w:top w:w="120" w:type="dxa"/>
              <w:start w:w="140" w:type="dxa"/>
              <w:bottom w:w="120" w:type="dxa"/>
              <w:end w:w="140" w:type="dxa"/>
            </w:tcMar>
            <w:vAlign w:val="center"/>
            <w:shd w:fill="EAF2F8"/>
          </w:tcPr>
          <w:p>
            <w:pPr>
              <w:spacing w:after="0" w:line="240" w:lineRule="auto"/>
            </w:pPr>
            <w:r>
              <w:rPr>
                <w:sz w:val="18"/>
              </w:rPr>
              <w:t>Advanced Security seat reporting in the license collector</w:t>
            </w:r>
          </w:p>
        </w:tc>
      </w:tr>
      <w:tr>
        <w:trPr>
          <w:cantSplit/>
        </w:trPr>
        <w:tc>
          <w:tcPr>
            <w:tcW w:type="dxa" w:w="4925"/>
            <w:tcMar>
              <w:top w:w="120" w:type="dxa"/>
              <w:start w:w="140" w:type="dxa"/>
              <w:bottom w:w="120" w:type="dxa"/>
              <w:end w:w="140" w:type="dxa"/>
            </w:tcMar>
            <w:vAlign w:val="center"/>
            <w:shd w:fill="FFFFFF"/>
          </w:tcPr>
          <w:p>
            <w:pPr>
              <w:spacing w:after="0" w:line="240" w:lineRule="auto"/>
            </w:pPr>
            <w:r>
              <w:rPr>
                <w:sz w:val="18"/>
              </w:rPr>
              <w:t>Grafana analysis and controlled CSV export</w:t>
            </w:r>
          </w:p>
        </w:tc>
        <w:tc>
          <w:tcPr>
            <w:tcW w:type="dxa" w:w="4925"/>
            <w:tcMar>
              <w:top w:w="120" w:type="dxa"/>
              <w:start w:w="140" w:type="dxa"/>
              <w:bottom w:w="120" w:type="dxa"/>
              <w:end w:w="140" w:type="dxa"/>
            </w:tcMar>
            <w:vAlign w:val="center"/>
            <w:shd w:fill="FFFFFF"/>
          </w:tcPr>
          <w:p>
            <w:pPr>
              <w:spacing w:after="0" w:line="240" w:lineRule="auto"/>
            </w:pPr>
            <w:r>
              <w:rPr>
                <w:sz w:val="18"/>
              </w:rPr>
              <w:t>Direct Grafana scans of the normalized audit table</w:t>
            </w:r>
          </w:p>
        </w:tc>
      </w:tr>
    </w:tbl>
    <w:p>
      <w:pPr>
        <w:spacing w:after="20"/>
      </w:pPr>
    </w:p>
    <w:p>
      <w:pPr>
        <w:pStyle w:val="Heading1"/>
        <w:keepNext/>
      </w:pPr>
      <w:r>
        <w:t>Architecture</w:t>
      </w:r>
    </w:p>
    <w:p>
      <w:pPr>
        <w:jc w:val="center"/>
      </w:pPr>
      <w:r>
        <w:drawing>
          <wp:inline xmlns:a="http://schemas.openxmlformats.org/drawingml/2006/main" xmlns:pic="http://schemas.openxmlformats.org/drawingml/2006/picture">
            <wp:extent cx="6263640" cy="6013094"/>
            <wp:docPr id="1" name="Picture 1" descr="End-to-end GitHub license collection, BigQuery activity aggregation, dormancy classification, dashboard, and controlled removal review architecture"/>
            <wp:cNvGraphicFramePr>
              <a:graphicFrameLocks noChangeAspect="1"/>
            </wp:cNvGraphicFramePr>
            <a:graphic>
              <a:graphicData uri="http://schemas.openxmlformats.org/drawingml/2006/picture">
                <pic:pic>
                  <pic:nvPicPr>
                    <pic:cNvPr id="0" name="github_license_architecture.png"/>
                    <pic:cNvPicPr/>
                  </pic:nvPicPr>
                  <pic:blipFill>
                    <a:blip r:embed="rId10"/>
                    <a:stretch>
                      <a:fillRect/>
                    </a:stretch>
                  </pic:blipFill>
                  <pic:spPr>
                    <a:xfrm>
                      <a:off x="0" y="0"/>
                      <a:ext cx="6263640" cy="6013094"/>
                    </a:xfrm>
                    <a:prstGeom prst="rect"/>
                  </pic:spPr>
                </pic:pic>
              </a:graphicData>
            </a:graphic>
          </wp:inline>
        </w:drawing>
      </w:r>
    </w:p>
    <w:p>
      <w:pPr>
        <w:jc w:val="center"/>
      </w:pPr>
      <w:r>
        <w:rPr>
          <w:i/>
          <w:color w:val="6B7280"/>
          <w:sz w:val="18"/>
        </w:rPr>
        <w:t>Figure 1  End to end license utilization and dormancy data flow</w:t>
      </w:r>
    </w:p>
    <w:p>
      <w:pPr>
        <w:pStyle w:val="Heading2"/>
        <w:keepNext/>
      </w:pPr>
      <w:r>
        <w:t>Component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51"/>
        <w:gridCol w:w="3351"/>
        <w:gridCol w:w="3351"/>
      </w:tblGrid>
      <w:tr>
        <w:trPr>
          <w:tblHeader w:val="true"/>
          <w:cantSplit/>
        </w:trPr>
        <w:tc>
          <w:tcPr>
            <w:tcW w:type="dxa" w:w="1944"/>
            <w:tcMar>
              <w:top w:w="120" w:type="dxa"/>
              <w:start w:w="140" w:type="dxa"/>
              <w:bottom w:w="120" w:type="dxa"/>
              <w:end w:w="140" w:type="dxa"/>
            </w:tcMar>
            <w:vAlign w:val="center"/>
            <w:shd w:fill="18364B"/>
          </w:tcPr>
          <w:p>
            <w:pPr>
              <w:jc w:val="left"/>
            </w:pPr>
            <w:r>
              <w:rPr>
                <w:b/>
                <w:color w:val="FFFFFF"/>
                <w:sz w:val="19"/>
              </w:rPr>
              <w:t>Component</w:t>
            </w:r>
          </w:p>
        </w:tc>
        <w:tc>
          <w:tcPr>
            <w:tcW w:type="dxa" w:w="4104"/>
            <w:tcMar>
              <w:top w:w="120" w:type="dxa"/>
              <w:start w:w="140" w:type="dxa"/>
              <w:bottom w:w="120" w:type="dxa"/>
              <w:end w:w="140" w:type="dxa"/>
            </w:tcMar>
            <w:vAlign w:val="center"/>
            <w:shd w:fill="18364B"/>
          </w:tcPr>
          <w:p>
            <w:pPr>
              <w:jc w:val="left"/>
            </w:pPr>
            <w:r>
              <w:rPr>
                <w:b/>
                <w:color w:val="FFFFFF"/>
                <w:sz w:val="19"/>
              </w:rPr>
              <w:t>Responsibility</w:t>
            </w:r>
          </w:p>
        </w:tc>
        <w:tc>
          <w:tcPr>
            <w:tcW w:type="dxa" w:w="3816"/>
            <w:tcMar>
              <w:top w:w="120" w:type="dxa"/>
              <w:start w:w="140" w:type="dxa"/>
              <w:bottom w:w="120" w:type="dxa"/>
              <w:end w:w="140" w:type="dxa"/>
            </w:tcMar>
            <w:vAlign w:val="center"/>
            <w:shd w:fill="18364B"/>
          </w:tcPr>
          <w:p>
            <w:pPr>
              <w:jc w:val="left"/>
            </w:pPr>
            <w:r>
              <w:rPr>
                <w:b/>
                <w:color w:val="FFFFFF"/>
                <w:sz w:val="19"/>
              </w:rPr>
              <w:t>Control</w:t>
            </w:r>
          </w:p>
        </w:tc>
      </w:tr>
      <w:tr>
        <w:trPr>
          <w:cantSplit/>
        </w:trPr>
        <w:tc>
          <w:tcPr>
            <w:tcW w:type="dxa" w:w="1944"/>
            <w:tcMar>
              <w:top w:w="120" w:type="dxa"/>
              <w:start w:w="140" w:type="dxa"/>
              <w:bottom w:w="120" w:type="dxa"/>
              <w:end w:w="140" w:type="dxa"/>
            </w:tcMar>
            <w:vAlign w:val="center"/>
            <w:shd w:fill="FFFFFF"/>
          </w:tcPr>
          <w:p>
            <w:pPr>
              <w:spacing w:after="0" w:line="240" w:lineRule="auto"/>
            </w:pPr>
            <w:r>
              <w:rPr>
                <w:sz w:val="18"/>
              </w:rPr>
              <w:t>GitHub App</w:t>
            </w:r>
          </w:p>
        </w:tc>
        <w:tc>
          <w:tcPr>
            <w:tcW w:type="dxa" w:w="4104"/>
            <w:tcMar>
              <w:top w:w="120" w:type="dxa"/>
              <w:start w:w="140" w:type="dxa"/>
              <w:bottom w:w="120" w:type="dxa"/>
              <w:end w:w="140" w:type="dxa"/>
            </w:tcMar>
            <w:vAlign w:val="center"/>
            <w:shd w:fill="FFFFFF"/>
          </w:tcPr>
          <w:p>
            <w:pPr>
              <w:spacing w:after="0" w:line="240" w:lineRule="auto"/>
            </w:pPr>
            <w:r>
              <w:rPr>
                <w:sz w:val="18"/>
              </w:rPr>
              <w:t>Authenticates the collector to the enterprise licensing API</w:t>
            </w:r>
          </w:p>
        </w:tc>
        <w:tc>
          <w:tcPr>
            <w:tcW w:type="dxa" w:w="3816"/>
            <w:tcMar>
              <w:top w:w="120" w:type="dxa"/>
              <w:start w:w="140" w:type="dxa"/>
              <w:bottom w:w="120" w:type="dxa"/>
              <w:end w:w="140" w:type="dxa"/>
            </w:tcMar>
            <w:vAlign w:val="center"/>
            <w:shd w:fill="FFFFFF"/>
          </w:tcPr>
          <w:p>
            <w:pPr>
              <w:spacing w:after="0" w:line="240" w:lineRule="auto"/>
            </w:pPr>
            <w:r>
              <w:rPr>
                <w:sz w:val="18"/>
              </w:rPr>
              <w:t>Enterprise installation with Enterprise billing read-only</w:t>
            </w:r>
          </w:p>
        </w:tc>
      </w:tr>
      <w:tr>
        <w:trPr>
          <w:cantSplit/>
        </w:trPr>
        <w:tc>
          <w:tcPr>
            <w:tcW w:type="dxa" w:w="1944"/>
            <w:tcMar>
              <w:top w:w="120" w:type="dxa"/>
              <w:start w:w="140" w:type="dxa"/>
              <w:bottom w:w="120" w:type="dxa"/>
              <w:end w:w="140" w:type="dxa"/>
            </w:tcMar>
            <w:vAlign w:val="center"/>
            <w:shd w:fill="EAF2F8"/>
          </w:tcPr>
          <w:p>
            <w:pPr>
              <w:spacing w:after="0" w:line="240" w:lineRule="auto"/>
            </w:pPr>
            <w:r>
              <w:rPr>
                <w:sz w:val="18"/>
              </w:rPr>
              <w:t>Cloud Scheduler</w:t>
            </w:r>
          </w:p>
        </w:tc>
        <w:tc>
          <w:tcPr>
            <w:tcW w:type="dxa" w:w="4104"/>
            <w:tcMar>
              <w:top w:w="120" w:type="dxa"/>
              <w:start w:w="140" w:type="dxa"/>
              <w:bottom w:w="120" w:type="dxa"/>
              <w:end w:w="140" w:type="dxa"/>
            </w:tcMar>
            <w:vAlign w:val="center"/>
            <w:shd w:fill="EAF2F8"/>
          </w:tcPr>
          <w:p>
            <w:pPr>
              <w:spacing w:after="0" w:line="240" w:lineRule="auto"/>
            </w:pPr>
            <w:r>
              <w:rPr>
                <w:sz w:val="18"/>
              </w:rPr>
              <w:t>Starts the batch on the approved cadence</w:t>
            </w:r>
          </w:p>
        </w:tc>
        <w:tc>
          <w:tcPr>
            <w:tcW w:type="dxa" w:w="3816"/>
            <w:tcMar>
              <w:top w:w="120" w:type="dxa"/>
              <w:start w:w="140" w:type="dxa"/>
              <w:bottom w:w="120" w:type="dxa"/>
              <w:end w:w="140" w:type="dxa"/>
            </w:tcMar>
            <w:vAlign w:val="center"/>
            <w:shd w:fill="EAF2F8"/>
          </w:tcPr>
          <w:p>
            <w:pPr>
              <w:spacing w:after="0" w:line="240" w:lineRule="auto"/>
            </w:pPr>
            <w:r>
              <w:rPr>
                <w:sz w:val="18"/>
              </w:rPr>
              <w:t>Paused until manual validation and first full load pass</w:t>
            </w:r>
          </w:p>
        </w:tc>
      </w:tr>
      <w:tr>
        <w:trPr>
          <w:cantSplit/>
        </w:trPr>
        <w:tc>
          <w:tcPr>
            <w:tcW w:type="dxa" w:w="1944"/>
            <w:tcMar>
              <w:top w:w="120" w:type="dxa"/>
              <w:start w:w="140" w:type="dxa"/>
              <w:bottom w:w="120" w:type="dxa"/>
              <w:end w:w="140" w:type="dxa"/>
            </w:tcMar>
            <w:vAlign w:val="center"/>
            <w:shd w:fill="FFFFFF"/>
          </w:tcPr>
          <w:p>
            <w:pPr>
              <w:spacing w:after="0" w:line="240" w:lineRule="auto"/>
            </w:pPr>
            <w:r>
              <w:rPr>
                <w:sz w:val="18"/>
              </w:rPr>
              <w:t>Cloud Run Job</w:t>
            </w:r>
          </w:p>
        </w:tc>
        <w:tc>
          <w:tcPr>
            <w:tcW w:type="dxa" w:w="4104"/>
            <w:tcMar>
              <w:top w:w="120" w:type="dxa"/>
              <w:start w:w="140" w:type="dxa"/>
              <w:bottom w:w="120" w:type="dxa"/>
              <w:end w:w="140" w:type="dxa"/>
            </w:tcMar>
            <w:vAlign w:val="center"/>
            <w:shd w:fill="FFFFFF"/>
          </w:tcPr>
          <w:p>
            <w:pPr>
              <w:spacing w:after="0" w:line="240" w:lineRule="auto"/>
            </w:pPr>
            <w:r>
              <w:rPr>
                <w:sz w:val="18"/>
              </w:rPr>
              <w:t>Authenticates, paginates, normalizes, archives, loads, and validates</w:t>
            </w:r>
          </w:p>
        </w:tc>
        <w:tc>
          <w:tcPr>
            <w:tcW w:type="dxa" w:w="3816"/>
            <w:tcMar>
              <w:top w:w="120" w:type="dxa"/>
              <w:start w:w="140" w:type="dxa"/>
              <w:bottom w:w="120" w:type="dxa"/>
              <w:end w:w="140" w:type="dxa"/>
            </w:tcMar>
            <w:vAlign w:val="center"/>
            <w:shd w:fill="FFFFFF"/>
          </w:tcPr>
          <w:p>
            <w:pPr>
              <w:spacing w:after="0" w:line="240" w:lineRule="auto"/>
            </w:pPr>
            <w:r>
              <w:rPr>
                <w:sz w:val="18"/>
              </w:rPr>
              <w:t>One task, one parallel execution unit, immutable execution ID</w:t>
            </w:r>
          </w:p>
        </w:tc>
      </w:tr>
      <w:tr>
        <w:trPr>
          <w:cantSplit/>
        </w:trPr>
        <w:tc>
          <w:tcPr>
            <w:tcW w:type="dxa" w:w="1944"/>
            <w:tcMar>
              <w:top w:w="120" w:type="dxa"/>
              <w:start w:w="140" w:type="dxa"/>
              <w:bottom w:w="120" w:type="dxa"/>
              <w:end w:w="140" w:type="dxa"/>
            </w:tcMar>
            <w:vAlign w:val="center"/>
            <w:shd w:fill="EAF2F8"/>
          </w:tcPr>
          <w:p>
            <w:pPr>
              <w:spacing w:after="0" w:line="240" w:lineRule="auto"/>
            </w:pPr>
            <w:r>
              <w:rPr>
                <w:sz w:val="18"/>
              </w:rPr>
              <w:t>Cloud Storage</w:t>
            </w:r>
          </w:p>
        </w:tc>
        <w:tc>
          <w:tcPr>
            <w:tcW w:type="dxa" w:w="4104"/>
            <w:tcMar>
              <w:top w:w="120" w:type="dxa"/>
              <w:start w:w="140" w:type="dxa"/>
              <w:bottom w:w="120" w:type="dxa"/>
              <w:end w:w="140" w:type="dxa"/>
            </w:tcMar>
            <w:vAlign w:val="center"/>
            <w:shd w:fill="EAF2F8"/>
          </w:tcPr>
          <w:p>
            <w:pPr>
              <w:spacing w:after="0" w:line="240" w:lineRule="auto"/>
            </w:pPr>
            <w:r>
              <w:rPr>
                <w:sz w:val="18"/>
              </w:rPr>
              <w:t>Retains raw API pages, canonical NDJSON, and manifests</w:t>
            </w:r>
          </w:p>
        </w:tc>
        <w:tc>
          <w:tcPr>
            <w:tcW w:type="dxa" w:w="3816"/>
            <w:tcMar>
              <w:top w:w="120" w:type="dxa"/>
              <w:start w:w="140" w:type="dxa"/>
              <w:bottom w:w="120" w:type="dxa"/>
              <w:end w:w="140" w:type="dxa"/>
            </w:tcMar>
            <w:vAlign w:val="center"/>
            <w:shd w:fill="EAF2F8"/>
          </w:tcPr>
          <w:p>
            <w:pPr>
              <w:spacing w:after="0" w:line="240" w:lineRule="auto"/>
            </w:pPr>
            <w:r>
              <w:rPr>
                <w:sz w:val="18"/>
              </w:rPr>
              <w:t>Create-only objects, restricted PII access, approved encryption and retention</w:t>
            </w:r>
          </w:p>
        </w:tc>
      </w:tr>
      <w:tr>
        <w:trPr>
          <w:cantSplit/>
        </w:trPr>
        <w:tc>
          <w:tcPr>
            <w:tcW w:type="dxa" w:w="1944"/>
            <w:tcMar>
              <w:top w:w="120" w:type="dxa"/>
              <w:start w:w="140" w:type="dxa"/>
              <w:bottom w:w="120" w:type="dxa"/>
              <w:end w:w="140" w:type="dxa"/>
            </w:tcMar>
            <w:vAlign w:val="center"/>
            <w:shd w:fill="FFFFFF"/>
          </w:tcPr>
          <w:p>
            <w:pPr>
              <w:spacing w:after="0" w:line="240" w:lineRule="auto"/>
            </w:pPr>
            <w:r>
              <w:rPr>
                <w:sz w:val="18"/>
              </w:rPr>
              <w:t>BigQuery</w:t>
            </w:r>
          </w:p>
        </w:tc>
        <w:tc>
          <w:tcPr>
            <w:tcW w:type="dxa" w:w="4104"/>
            <w:tcMar>
              <w:top w:w="120" w:type="dxa"/>
              <w:start w:w="140" w:type="dxa"/>
              <w:bottom w:w="120" w:type="dxa"/>
              <w:end w:w="140" w:type="dxa"/>
            </w:tcMar>
            <w:vAlign w:val="center"/>
            <w:shd w:fill="FFFFFF"/>
          </w:tcPr>
          <w:p>
            <w:pPr>
              <w:spacing w:after="0" w:line="240" w:lineRule="auto"/>
            </w:pPr>
            <w:r>
              <w:rPr>
                <w:sz w:val="18"/>
              </w:rPr>
              <w:t>Stores snapshot history, activity aggregates, and derived status</w:t>
            </w:r>
          </w:p>
        </w:tc>
        <w:tc>
          <w:tcPr>
            <w:tcW w:type="dxa" w:w="3816"/>
            <w:tcMar>
              <w:top w:w="120" w:type="dxa"/>
              <w:start w:w="140" w:type="dxa"/>
              <w:bottom w:w="120" w:type="dxa"/>
              <w:end w:w="140" w:type="dxa"/>
            </w:tcMar>
            <w:vAlign w:val="center"/>
            <w:shd w:fill="FFFFFF"/>
          </w:tcPr>
          <w:p>
            <w:pPr>
              <w:spacing w:after="0" w:line="240" w:lineRule="auto"/>
            </w:pPr>
            <w:r>
              <w:rPr>
                <w:sz w:val="18"/>
              </w:rPr>
              <w:t>Terraform-managed objects and append-only snapshot loads</w:t>
            </w:r>
          </w:p>
        </w:tc>
      </w:tr>
      <w:tr>
        <w:trPr>
          <w:cantSplit/>
        </w:trPr>
        <w:tc>
          <w:tcPr>
            <w:tcW w:type="dxa" w:w="1944"/>
            <w:tcMar>
              <w:top w:w="120" w:type="dxa"/>
              <w:start w:w="140" w:type="dxa"/>
              <w:bottom w:w="120" w:type="dxa"/>
              <w:end w:w="140" w:type="dxa"/>
            </w:tcMar>
            <w:vAlign w:val="center"/>
            <w:shd w:fill="EAF2F8"/>
          </w:tcPr>
          <w:p>
            <w:pPr>
              <w:spacing w:after="0" w:line="240" w:lineRule="auto"/>
            </w:pPr>
            <w:r>
              <w:rPr>
                <w:sz w:val="18"/>
              </w:rPr>
              <w:t>Grafana</w:t>
            </w:r>
          </w:p>
        </w:tc>
        <w:tc>
          <w:tcPr>
            <w:tcW w:type="dxa" w:w="4104"/>
            <w:tcMar>
              <w:top w:w="120" w:type="dxa"/>
              <w:start w:w="140" w:type="dxa"/>
              <w:bottom w:w="120" w:type="dxa"/>
              <w:end w:w="140" w:type="dxa"/>
            </w:tcMar>
            <w:vAlign w:val="center"/>
            <w:shd w:fill="EAF2F8"/>
          </w:tcPr>
          <w:p>
            <w:pPr>
              <w:spacing w:after="0" w:line="240" w:lineRule="auto"/>
            </w:pPr>
            <w:r>
              <w:rPr>
                <w:sz w:val="18"/>
              </w:rPr>
              <w:t>Presents utilization, evidence, trends, and review queues</w:t>
            </w:r>
          </w:p>
        </w:tc>
        <w:tc>
          <w:tcPr>
            <w:tcW w:type="dxa" w:w="3816"/>
            <w:tcMar>
              <w:top w:w="120" w:type="dxa"/>
              <w:start w:w="140" w:type="dxa"/>
              <w:bottom w:w="120" w:type="dxa"/>
              <w:end w:w="140" w:type="dxa"/>
            </w:tcMar>
            <w:vAlign w:val="center"/>
            <w:shd w:fill="EAF2F8"/>
          </w:tcPr>
          <w:p>
            <w:pPr>
              <w:spacing w:after="0" w:line="240" w:lineRule="auto"/>
            </w:pPr>
            <w:r>
              <w:rPr>
                <w:sz w:val="18"/>
              </w:rPr>
              <w:t>Queries derived tables and views rather than raw audit events</w:t>
            </w:r>
          </w:p>
        </w:tc>
      </w:tr>
    </w:tbl>
    <w:p>
      <w:pPr>
        <w:spacing w:after="20"/>
      </w:pPr>
    </w:p>
    <w:p>
      <w:pPr>
        <w:pStyle w:val="Heading1"/>
        <w:keepNext/>
      </w:pPr>
      <w:r>
        <w:t>Current and target state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51"/>
        <w:gridCol w:w="3351"/>
        <w:gridCol w:w="3351"/>
      </w:tblGrid>
      <w:tr>
        <w:trPr>
          <w:tblHeader w:val="true"/>
          <w:cantSplit/>
        </w:trPr>
        <w:tc>
          <w:tcPr>
            <w:tcW w:type="dxa" w:w="2952"/>
            <w:tcMar>
              <w:top w:w="120" w:type="dxa"/>
              <w:start w:w="140" w:type="dxa"/>
              <w:bottom w:w="120" w:type="dxa"/>
              <w:end w:w="140" w:type="dxa"/>
            </w:tcMar>
            <w:vAlign w:val="center"/>
            <w:shd w:fill="18364B"/>
          </w:tcPr>
          <w:p>
            <w:pPr>
              <w:jc w:val="left"/>
            </w:pPr>
            <w:r>
              <w:rPr>
                <w:b/>
                <w:color w:val="FFFFFF"/>
                <w:sz w:val="19"/>
              </w:rPr>
              <w:t>Capability</w:t>
            </w:r>
          </w:p>
        </w:tc>
        <w:tc>
          <w:tcPr>
            <w:tcW w:type="dxa" w:w="1901"/>
            <w:tcMar>
              <w:top w:w="120" w:type="dxa"/>
              <w:start w:w="140" w:type="dxa"/>
              <w:bottom w:w="120" w:type="dxa"/>
              <w:end w:w="140" w:type="dxa"/>
            </w:tcMar>
            <w:vAlign w:val="center"/>
            <w:shd w:fill="18364B"/>
          </w:tcPr>
          <w:p>
            <w:pPr>
              <w:jc w:val="left"/>
            </w:pPr>
            <w:r>
              <w:rPr>
                <w:b/>
                <w:color w:val="FFFFFF"/>
                <w:sz w:val="19"/>
              </w:rPr>
              <w:t>State</w:t>
            </w:r>
          </w:p>
        </w:tc>
        <w:tc>
          <w:tcPr>
            <w:tcW w:type="dxa" w:w="5011"/>
            <w:tcMar>
              <w:top w:w="120" w:type="dxa"/>
              <w:start w:w="140" w:type="dxa"/>
              <w:bottom w:w="120" w:type="dxa"/>
              <w:end w:w="140" w:type="dxa"/>
            </w:tcMar>
            <w:vAlign w:val="center"/>
            <w:shd w:fill="18364B"/>
          </w:tcPr>
          <w:p>
            <w:pPr>
              <w:jc w:val="left"/>
            </w:pPr>
            <w:r>
              <w:rPr>
                <w:b/>
                <w:color w:val="FFFFFF"/>
                <w:sz w:val="19"/>
              </w:rPr>
              <w:t>Notes</w:t>
            </w:r>
          </w:p>
        </w:tc>
      </w:tr>
      <w:tr>
        <w:trPr>
          <w:cantSplit/>
        </w:trPr>
        <w:tc>
          <w:tcPr>
            <w:tcW w:type="dxa" w:w="2952"/>
            <w:tcMar>
              <w:top w:w="120" w:type="dxa"/>
              <w:start w:w="140" w:type="dxa"/>
              <w:bottom w:w="120" w:type="dxa"/>
              <w:end w:w="140" w:type="dxa"/>
            </w:tcMar>
            <w:vAlign w:val="center"/>
            <w:shd w:fill="FFFFFF"/>
          </w:tcPr>
          <w:p>
            <w:pPr>
              <w:spacing w:after="0" w:line="240" w:lineRule="auto"/>
            </w:pPr>
            <w:r>
              <w:rPr>
                <w:sz w:val="18"/>
              </w:rPr>
              <w:t>Audit event foundation</w:t>
            </w:r>
          </w:p>
        </w:tc>
        <w:tc>
          <w:tcPr>
            <w:tcW w:type="dxa" w:w="1901"/>
            <w:tcMar>
              <w:top w:w="120" w:type="dxa"/>
              <w:start w:w="140" w:type="dxa"/>
              <w:bottom w:w="120" w:type="dxa"/>
              <w:end w:w="140" w:type="dxa"/>
            </w:tcMar>
            <w:vAlign w:val="center"/>
            <w:shd w:fill="FFFFFF"/>
          </w:tcPr>
          <w:p>
            <w:pPr>
              <w:spacing w:after="0" w:line="240" w:lineRule="auto"/>
            </w:pPr>
            <w:r>
              <w:rPr>
                <w:sz w:val="18"/>
              </w:rPr>
              <w:t>Available</w:t>
            </w:r>
          </w:p>
        </w:tc>
        <w:tc>
          <w:tcPr>
            <w:tcW w:type="dxa" w:w="5011"/>
            <w:tcMar>
              <w:top w:w="120" w:type="dxa"/>
              <w:start w:w="140" w:type="dxa"/>
              <w:bottom w:w="120" w:type="dxa"/>
              <w:end w:w="140" w:type="dxa"/>
            </w:tcMar>
            <w:vAlign w:val="center"/>
            <w:shd w:fill="FFFFFF"/>
          </w:tcPr>
          <w:p>
            <w:pPr>
              <w:spacing w:after="0" w:line="240" w:lineRule="auto"/>
            </w:pPr>
            <w:r>
              <w:rPr>
                <w:sz w:val="18"/>
              </w:rPr>
              <w:t>github_audit_events_normalized contains audit and Git events and already supports governance reporting</w:t>
            </w:r>
          </w:p>
        </w:tc>
      </w:tr>
      <w:tr>
        <w:trPr>
          <w:cantSplit/>
        </w:trPr>
        <w:tc>
          <w:tcPr>
            <w:tcW w:type="dxa" w:w="2952"/>
            <w:tcMar>
              <w:top w:w="120" w:type="dxa"/>
              <w:start w:w="140" w:type="dxa"/>
              <w:bottom w:w="120" w:type="dxa"/>
              <w:end w:w="140" w:type="dxa"/>
            </w:tcMar>
            <w:vAlign w:val="center"/>
            <w:shd w:fill="EAF2F8"/>
          </w:tcPr>
          <w:p>
            <w:pPr>
              <w:spacing w:after="0" w:line="240" w:lineRule="auto"/>
            </w:pPr>
            <w:r>
              <w:rPr>
                <w:sz w:val="18"/>
              </w:rPr>
              <w:t>License snapshot run table</w:t>
            </w:r>
          </w:p>
        </w:tc>
        <w:tc>
          <w:tcPr>
            <w:tcW w:type="dxa" w:w="1901"/>
            <w:tcMar>
              <w:top w:w="120" w:type="dxa"/>
              <w:start w:w="140" w:type="dxa"/>
              <w:bottom w:w="120" w:type="dxa"/>
              <w:end w:w="140" w:type="dxa"/>
            </w:tcMar>
            <w:vAlign w:val="center"/>
            <w:shd w:fill="EAF2F8"/>
          </w:tcPr>
          <w:p>
            <w:pPr>
              <w:spacing w:after="0" w:line="240" w:lineRule="auto"/>
            </w:pPr>
            <w:r>
              <w:rPr>
                <w:sz w:val="18"/>
              </w:rPr>
              <w:t>Created</w:t>
            </w:r>
          </w:p>
        </w:tc>
        <w:tc>
          <w:tcPr>
            <w:tcW w:type="dxa" w:w="5011"/>
            <w:tcMar>
              <w:top w:w="120" w:type="dxa"/>
              <w:start w:w="140" w:type="dxa"/>
              <w:bottom w:w="120" w:type="dxa"/>
              <w:end w:w="140" w:type="dxa"/>
            </w:tcMar>
            <w:vAlign w:val="center"/>
            <w:shd w:fill="EAF2F8"/>
          </w:tcPr>
          <w:p>
            <w:pPr>
              <w:spacing w:after="0" w:line="240" w:lineRule="auto"/>
            </w:pPr>
            <w:r>
              <w:rPr>
                <w:sz w:val="18"/>
              </w:rPr>
              <w:t>Tracks collection state, API totals, load counts, failures, and validation results</w:t>
            </w:r>
          </w:p>
        </w:tc>
      </w:tr>
      <w:tr>
        <w:trPr>
          <w:cantSplit/>
        </w:trPr>
        <w:tc>
          <w:tcPr>
            <w:tcW w:type="dxa" w:w="2952"/>
            <w:tcMar>
              <w:top w:w="120" w:type="dxa"/>
              <w:start w:w="140" w:type="dxa"/>
              <w:bottom w:w="120" w:type="dxa"/>
              <w:end w:w="140" w:type="dxa"/>
            </w:tcMar>
            <w:vAlign w:val="center"/>
            <w:shd w:fill="FFFFFF"/>
          </w:tcPr>
          <w:p>
            <w:pPr>
              <w:spacing w:after="0" w:line="240" w:lineRule="auto"/>
            </w:pPr>
            <w:r>
              <w:rPr>
                <w:sz w:val="18"/>
              </w:rPr>
              <w:t>License user snapshot</w:t>
            </w:r>
          </w:p>
        </w:tc>
        <w:tc>
          <w:tcPr>
            <w:tcW w:type="dxa" w:w="1901"/>
            <w:tcMar>
              <w:top w:w="120" w:type="dxa"/>
              <w:start w:w="140" w:type="dxa"/>
              <w:bottom w:w="120" w:type="dxa"/>
              <w:end w:w="140" w:type="dxa"/>
            </w:tcMar>
            <w:vAlign w:val="center"/>
            <w:shd w:fill="FFFFFF"/>
          </w:tcPr>
          <w:p>
            <w:pPr>
              <w:spacing w:after="0" w:line="240" w:lineRule="auto"/>
            </w:pPr>
            <w:r>
              <w:rPr>
                <w:sz w:val="18"/>
              </w:rPr>
              <w:t>Created</w:t>
            </w:r>
          </w:p>
        </w:tc>
        <w:tc>
          <w:tcPr>
            <w:tcW w:type="dxa" w:w="5011"/>
            <w:tcMar>
              <w:top w:w="120" w:type="dxa"/>
              <w:start w:w="140" w:type="dxa"/>
              <w:bottom w:w="120" w:type="dxa"/>
              <w:end w:w="140" w:type="dxa"/>
            </w:tcMar>
            <w:vAlign w:val="center"/>
            <w:shd w:fill="FFFFFF"/>
          </w:tcPr>
          <w:p>
            <w:pPr>
              <w:spacing w:after="0" w:line="240" w:lineRule="auto"/>
            </w:pPr>
            <w:r>
              <w:rPr>
                <w:sz w:val="18"/>
              </w:rPr>
              <w:t>Partitioned historical inventory with one normalized row per license identity per run</w:t>
            </w:r>
          </w:p>
        </w:tc>
      </w:tr>
      <w:tr>
        <w:trPr>
          <w:cantSplit/>
        </w:trPr>
        <w:tc>
          <w:tcPr>
            <w:tcW w:type="dxa" w:w="2952"/>
            <w:tcMar>
              <w:top w:w="120" w:type="dxa"/>
              <w:start w:w="140" w:type="dxa"/>
              <w:bottom w:w="120" w:type="dxa"/>
              <w:end w:w="140" w:type="dxa"/>
            </w:tcMar>
            <w:vAlign w:val="center"/>
            <w:shd w:fill="EAF2F8"/>
          </w:tcPr>
          <w:p>
            <w:pPr>
              <w:spacing w:after="0" w:line="240" w:lineRule="auto"/>
            </w:pPr>
            <w:r>
              <w:rPr>
                <w:sz w:val="18"/>
              </w:rPr>
              <w:t>Current licensed-user view</w:t>
            </w:r>
          </w:p>
        </w:tc>
        <w:tc>
          <w:tcPr>
            <w:tcW w:type="dxa" w:w="1901"/>
            <w:tcMar>
              <w:top w:w="120" w:type="dxa"/>
              <w:start w:w="140" w:type="dxa"/>
              <w:bottom w:w="120" w:type="dxa"/>
              <w:end w:w="140" w:type="dxa"/>
            </w:tcMar>
            <w:vAlign w:val="center"/>
            <w:shd w:fill="EAF2F8"/>
          </w:tcPr>
          <w:p>
            <w:pPr>
              <w:spacing w:after="0" w:line="240" w:lineRule="auto"/>
            </w:pPr>
            <w:r>
              <w:rPr>
                <w:sz w:val="18"/>
              </w:rPr>
              <w:t>Created</w:t>
            </w:r>
          </w:p>
        </w:tc>
        <w:tc>
          <w:tcPr>
            <w:tcW w:type="dxa" w:w="5011"/>
            <w:tcMar>
              <w:top w:w="120" w:type="dxa"/>
              <w:start w:w="140" w:type="dxa"/>
              <w:bottom w:w="120" w:type="dxa"/>
              <w:end w:w="140" w:type="dxa"/>
            </w:tcMar>
            <w:vAlign w:val="center"/>
            <w:shd w:fill="EAF2F8"/>
          </w:tcPr>
          <w:p>
            <w:pPr>
              <w:spacing w:after="0" w:line="240" w:lineRule="auto"/>
            </w:pPr>
            <w:r>
              <w:rPr>
                <w:sz w:val="18"/>
              </w:rPr>
              <w:t>Selects only the latest COMPLETE run</w:t>
            </w:r>
          </w:p>
        </w:tc>
      </w:tr>
      <w:tr>
        <w:trPr>
          <w:cantSplit/>
        </w:trPr>
        <w:tc>
          <w:tcPr>
            <w:tcW w:type="dxa" w:w="2952"/>
            <w:tcMar>
              <w:top w:w="120" w:type="dxa"/>
              <w:start w:w="140" w:type="dxa"/>
              <w:bottom w:w="120" w:type="dxa"/>
              <w:end w:w="140" w:type="dxa"/>
            </w:tcMar>
            <w:vAlign w:val="center"/>
            <w:shd w:fill="FFFFFF"/>
          </w:tcPr>
          <w:p>
            <w:pPr>
              <w:spacing w:after="0" w:line="240" w:lineRule="auto"/>
            </w:pPr>
            <w:r>
              <w:rPr>
                <w:sz w:val="18"/>
              </w:rPr>
              <w:t>Cloud Run collector</w:t>
            </w:r>
          </w:p>
        </w:tc>
        <w:tc>
          <w:tcPr>
            <w:tcW w:type="dxa" w:w="1901"/>
            <w:tcMar>
              <w:top w:w="120" w:type="dxa"/>
              <w:start w:w="140" w:type="dxa"/>
              <w:bottom w:w="120" w:type="dxa"/>
              <w:end w:w="140" w:type="dxa"/>
            </w:tcMar>
            <w:vAlign w:val="center"/>
            <w:shd w:fill="FFFFFF"/>
          </w:tcPr>
          <w:p>
            <w:pPr>
              <w:spacing w:after="0" w:line="240" w:lineRule="auto"/>
            </w:pPr>
            <w:r>
              <w:rPr>
                <w:sz w:val="18"/>
              </w:rPr>
              <w:t>Prepared for deployment</w:t>
            </w:r>
          </w:p>
        </w:tc>
        <w:tc>
          <w:tcPr>
            <w:tcW w:type="dxa" w:w="5011"/>
            <w:tcMar>
              <w:top w:w="120" w:type="dxa"/>
              <w:start w:w="140" w:type="dxa"/>
              <w:bottom w:w="120" w:type="dxa"/>
              <w:end w:w="140" w:type="dxa"/>
            </w:tcMar>
            <w:vAlign w:val="center"/>
            <w:shd w:fill="FFFFFF"/>
          </w:tcPr>
          <w:p>
            <w:pPr>
              <w:spacing w:after="0" w:line="240" w:lineRule="auto"/>
            </w:pPr>
            <w:r>
              <w:rPr>
                <w:sz w:val="18"/>
              </w:rPr>
              <w:t>Validate mode should run before the first write-enabled execution</w:t>
            </w:r>
          </w:p>
        </w:tc>
      </w:tr>
      <w:tr>
        <w:trPr>
          <w:cantSplit/>
        </w:trPr>
        <w:tc>
          <w:tcPr>
            <w:tcW w:type="dxa" w:w="2952"/>
            <w:tcMar>
              <w:top w:w="120" w:type="dxa"/>
              <w:start w:w="140" w:type="dxa"/>
              <w:bottom w:w="120" w:type="dxa"/>
              <w:end w:w="140" w:type="dxa"/>
            </w:tcMar>
            <w:vAlign w:val="center"/>
            <w:shd w:fill="EAF2F8"/>
          </w:tcPr>
          <w:p>
            <w:pPr>
              <w:spacing w:after="0" w:line="240" w:lineRule="auto"/>
            </w:pPr>
            <w:r>
              <w:rPr>
                <w:sz w:val="18"/>
              </w:rPr>
              <w:t>Activity summary</w:t>
            </w:r>
          </w:p>
        </w:tc>
        <w:tc>
          <w:tcPr>
            <w:tcW w:type="dxa" w:w="1901"/>
            <w:tcMar>
              <w:top w:w="120" w:type="dxa"/>
              <w:start w:w="140" w:type="dxa"/>
              <w:bottom w:w="120" w:type="dxa"/>
              <w:end w:w="140" w:type="dxa"/>
            </w:tcMar>
            <w:vAlign w:val="center"/>
            <w:shd w:fill="EAF2F8"/>
          </w:tcPr>
          <w:p>
            <w:pPr>
              <w:spacing w:after="0" w:line="240" w:lineRule="auto"/>
            </w:pPr>
            <w:r>
              <w:rPr>
                <w:sz w:val="18"/>
              </w:rPr>
              <w:t>Next phase</w:t>
            </w:r>
          </w:p>
        </w:tc>
        <w:tc>
          <w:tcPr>
            <w:tcW w:type="dxa" w:w="5011"/>
            <w:tcMar>
              <w:top w:w="120" w:type="dxa"/>
              <w:start w:w="140" w:type="dxa"/>
              <w:bottom w:w="120" w:type="dxa"/>
              <w:end w:w="140" w:type="dxa"/>
            </w:tcMar>
            <w:vAlign w:val="center"/>
            <w:shd w:fill="EAF2F8"/>
          </w:tcPr>
          <w:p>
            <w:pPr>
              <w:spacing w:after="0" w:line="240" w:lineRule="auto"/>
            </w:pPr>
            <w:r>
              <w:rPr>
                <w:sz w:val="18"/>
              </w:rPr>
              <w:t>Aggregates latest non-SSO activity, Git activity, authentication, and counts by actor</w:t>
            </w:r>
          </w:p>
        </w:tc>
      </w:tr>
      <w:tr>
        <w:trPr>
          <w:cantSplit/>
        </w:trPr>
        <w:tc>
          <w:tcPr>
            <w:tcW w:type="dxa" w:w="2952"/>
            <w:tcMar>
              <w:top w:w="120" w:type="dxa"/>
              <w:start w:w="140" w:type="dxa"/>
              <w:bottom w:w="120" w:type="dxa"/>
              <w:end w:w="140" w:type="dxa"/>
            </w:tcMar>
            <w:vAlign w:val="center"/>
            <w:shd w:fill="FFFFFF"/>
          </w:tcPr>
          <w:p>
            <w:pPr>
              <w:spacing w:after="0" w:line="240" w:lineRule="auto"/>
            </w:pPr>
            <w:r>
              <w:rPr>
                <w:sz w:val="18"/>
              </w:rPr>
              <w:t>Eligibility and SCIM snapshots</w:t>
            </w:r>
          </w:p>
        </w:tc>
        <w:tc>
          <w:tcPr>
            <w:tcW w:type="dxa" w:w="1901"/>
            <w:tcMar>
              <w:top w:w="120" w:type="dxa"/>
              <w:start w:w="140" w:type="dxa"/>
              <w:bottom w:w="120" w:type="dxa"/>
              <w:end w:w="140" w:type="dxa"/>
            </w:tcMar>
            <w:vAlign w:val="center"/>
            <w:shd w:fill="FFFFFF"/>
          </w:tcPr>
          <w:p>
            <w:pPr>
              <w:spacing w:after="0" w:line="240" w:lineRule="auto"/>
            </w:pPr>
            <w:r>
              <w:rPr>
                <w:sz w:val="18"/>
              </w:rPr>
              <w:t>Next phase</w:t>
            </w:r>
          </w:p>
        </w:tc>
        <w:tc>
          <w:tcPr>
            <w:tcW w:type="dxa" w:w="5011"/>
            <w:tcMar>
              <w:top w:w="120" w:type="dxa"/>
              <w:start w:w="140" w:type="dxa"/>
              <w:bottom w:w="120" w:type="dxa"/>
              <w:end w:w="140" w:type="dxa"/>
            </w:tcMar>
            <w:vAlign w:val="center"/>
            <w:shd w:fill="FFFFFF"/>
          </w:tcPr>
          <w:p>
            <w:pPr>
              <w:spacing w:after="0" w:line="240" w:lineRule="auto"/>
            </w:pPr>
            <w:r>
              <w:rPr>
                <w:sz w:val="18"/>
              </w:rPr>
              <w:t>Persists staff, UBR, flow type, target groups, and LDAP or SCIM results</w:t>
            </w:r>
          </w:p>
        </w:tc>
      </w:tr>
      <w:tr>
        <w:trPr>
          <w:cantSplit/>
        </w:trPr>
        <w:tc>
          <w:tcPr>
            <w:tcW w:type="dxa" w:w="2952"/>
            <w:tcMar>
              <w:top w:w="120" w:type="dxa"/>
              <w:start w:w="140" w:type="dxa"/>
              <w:bottom w:w="120" w:type="dxa"/>
              <w:end w:w="140" w:type="dxa"/>
            </w:tcMar>
            <w:vAlign w:val="center"/>
            <w:shd w:fill="EAF2F8"/>
          </w:tcPr>
          <w:p>
            <w:pPr>
              <w:spacing w:after="0" w:line="240" w:lineRule="auto"/>
            </w:pPr>
            <w:r>
              <w:rPr>
                <w:sz w:val="18"/>
              </w:rPr>
              <w:t>Dormancy and removal views</w:t>
            </w:r>
          </w:p>
        </w:tc>
        <w:tc>
          <w:tcPr>
            <w:tcW w:type="dxa" w:w="1901"/>
            <w:tcMar>
              <w:top w:w="120" w:type="dxa"/>
              <w:start w:w="140" w:type="dxa"/>
              <w:bottom w:w="120" w:type="dxa"/>
              <w:end w:w="140" w:type="dxa"/>
            </w:tcMar>
            <w:vAlign w:val="center"/>
            <w:shd w:fill="EAF2F8"/>
          </w:tcPr>
          <w:p>
            <w:pPr>
              <w:spacing w:after="0" w:line="240" w:lineRule="auto"/>
            </w:pPr>
            <w:r>
              <w:rPr>
                <w:sz w:val="18"/>
              </w:rPr>
              <w:t>Next phase</w:t>
            </w:r>
          </w:p>
        </w:tc>
        <w:tc>
          <w:tcPr>
            <w:tcW w:type="dxa" w:w="5011"/>
            <w:tcMar>
              <w:top w:w="120" w:type="dxa"/>
              <w:start w:w="140" w:type="dxa"/>
              <w:bottom w:w="120" w:type="dxa"/>
              <w:end w:w="140" w:type="dxa"/>
            </w:tcMar>
            <w:vAlign w:val="center"/>
            <w:shd w:fill="EAF2F8"/>
          </w:tcPr>
          <w:p>
            <w:pPr>
              <w:spacing w:after="0" w:line="240" w:lineRule="auto"/>
            </w:pPr>
            <w:r>
              <w:rPr>
                <w:sz w:val="18"/>
              </w:rPr>
              <w:t>Separates one row per user from one row per user and target group</w:t>
            </w:r>
          </w:p>
        </w:tc>
      </w:tr>
      <w:tr>
        <w:trPr>
          <w:cantSplit/>
        </w:trPr>
        <w:tc>
          <w:tcPr>
            <w:tcW w:type="dxa" w:w="2952"/>
            <w:tcMar>
              <w:top w:w="120" w:type="dxa"/>
              <w:start w:w="140" w:type="dxa"/>
              <w:bottom w:w="120" w:type="dxa"/>
              <w:end w:w="140" w:type="dxa"/>
            </w:tcMar>
            <w:vAlign w:val="center"/>
            <w:shd w:fill="FFFFFF"/>
          </w:tcPr>
          <w:p>
            <w:pPr>
              <w:spacing w:after="0" w:line="240" w:lineRule="auto"/>
            </w:pPr>
            <w:r>
              <w:rPr>
                <w:sz w:val="18"/>
              </w:rPr>
              <w:t>Grafana dashboard</w:t>
            </w:r>
          </w:p>
        </w:tc>
        <w:tc>
          <w:tcPr>
            <w:tcW w:type="dxa" w:w="1901"/>
            <w:tcMar>
              <w:top w:w="120" w:type="dxa"/>
              <w:start w:w="140" w:type="dxa"/>
              <w:bottom w:w="120" w:type="dxa"/>
              <w:end w:w="140" w:type="dxa"/>
            </w:tcMar>
            <w:vAlign w:val="center"/>
            <w:shd w:fill="FFFFFF"/>
          </w:tcPr>
          <w:p>
            <w:pPr>
              <w:spacing w:after="0" w:line="240" w:lineRule="auto"/>
            </w:pPr>
            <w:r>
              <w:rPr>
                <w:sz w:val="18"/>
              </w:rPr>
              <w:t>After data reconciliation</w:t>
            </w:r>
          </w:p>
        </w:tc>
        <w:tc>
          <w:tcPr>
            <w:tcW w:type="dxa" w:w="5011"/>
            <w:tcMar>
              <w:top w:w="120" w:type="dxa"/>
              <w:start w:w="140" w:type="dxa"/>
              <w:bottom w:w="120" w:type="dxa"/>
              <w:end w:w="140" w:type="dxa"/>
            </w:tcMar>
            <w:vAlign w:val="center"/>
            <w:shd w:fill="FFFFFF"/>
          </w:tcPr>
          <w:p>
            <w:pPr>
              <w:spacing w:after="0" w:line="240" w:lineRule="auto"/>
            </w:pPr>
            <w:r>
              <w:rPr>
                <w:sz w:val="18"/>
              </w:rPr>
              <w:t>Build after the BigQuery calculation matches the legacy script</w:t>
            </w:r>
          </w:p>
        </w:tc>
      </w:tr>
    </w:tbl>
    <w:p>
      <w:pPr>
        <w:spacing w:after="20"/>
      </w:pPr>
    </w:p>
    <w:p>
      <w:pPr>
        <w:pStyle w:val="Heading1"/>
        <w:keepNext/>
      </w:pPr>
      <w:r>
        <w:t>License collection flow</w:t>
      </w:r>
    </w:p>
    <w:p>
      <w:pPr>
        <w:keepLines/>
        <w:spacing w:after="40"/>
        <w:ind w:left="432" w:hanging="432"/>
      </w:pPr>
      <w:r>
        <w:t>1.  Cloud Scheduler starts a single Cloud Run Job execution. During rollout, the schedule remains paused and executions are started manually.</w:t>
      </w:r>
    </w:p>
    <w:p>
      <w:pPr>
        <w:keepLines/>
        <w:spacing w:after="40"/>
        <w:ind w:left="432" w:hanging="432"/>
      </w:pPr>
      <w:r>
        <w:t>2.  The job reads the GitHub App private key from Secret Manager, creates an app JWT in memory, and exchanges it for a short-lived enterprise installation token.</w:t>
      </w:r>
    </w:p>
    <w:p>
      <w:pPr>
        <w:keepLines/>
        <w:spacing w:after="40"/>
        <w:ind w:left="432" w:hanging="432"/>
      </w:pPr>
      <w:r>
        <w:t>3.  The collector calls GET /enterprises/{enterprise}/consumed-licenses with 100 records per page and follows every pagination link on the configured GitHub API origin.</w:t>
      </w:r>
    </w:p>
    <w:p>
      <w:pPr>
        <w:keepLines/>
        <w:spacing w:after="40"/>
        <w:ind w:left="432" w:hanging="432"/>
      </w:pPr>
      <w:r>
        <w:t>4.  Each source record is normalized to the snapshot schema. The identity key prefers GitHub login, then SAML identity, then Enterprise Server user IDs. An unresolved source hash is the final fallback.</w:t>
      </w:r>
    </w:p>
    <w:p>
      <w:pPr>
        <w:keepLines/>
        <w:spacing w:after="40"/>
        <w:ind w:left="432" w:hanging="432"/>
      </w:pPr>
      <w:r>
        <w:t>5.  Raw pages, canonical NDJSON, and an extraction manifest are written to execution-specific Cloud Storage paths. Objects are created with a generation precondition so retries cannot overwrite evidence.</w:t>
      </w:r>
    </w:p>
    <w:p>
      <w:pPr>
        <w:keepLines/>
        <w:spacing w:after="40"/>
        <w:ind w:left="432" w:hanging="432"/>
      </w:pPr>
      <w:r>
        <w:t>6.  A BigQuery load job appends the canonical file to the existing table using CREATE_NEVER, WRITE_APPEND, the destination schema, zero tolerated bad rows, and a deterministic job ID.</w:t>
      </w:r>
    </w:p>
    <w:p>
      <w:pPr>
        <w:keepLines/>
        <w:spacing w:after="40"/>
        <w:ind w:left="432" w:hanging="432"/>
      </w:pPr>
      <w:r>
        <w:t>7.  The job validates loaded rows, distinct identity keys, unresolved identities, API totals, pagination, and the change from the previous complete snapshot.</w:t>
      </w:r>
    </w:p>
    <w:p>
      <w:pPr>
        <w:keepLines/>
        <w:spacing w:after="40"/>
        <w:ind w:left="432" w:hanging="432"/>
      </w:pPr>
      <w:r>
        <w:t>8.  Only a COMPLETE run is eligible for the current licensed-user view. REVIEW_REQUIRED, REJECTED, and FAILED runs remain available for evidence but do not replace the current inventory.</w:t>
      </w:r>
    </w:p>
    <w:p>
      <w:pPr>
        <w:pStyle w:val="Heading2"/>
        <w:keepNext/>
      </w:pPr>
      <w:r>
        <w:t>Storage paths and partitioning</w:t>
      </w:r>
    </w:p>
    <w:p>
      <w:pPr>
        <w:spacing w:before="80" w:after="160"/>
        <w:ind w:left="360" w:right="360"/>
        <w:shd w:fill="F4F5F7"/>
      </w:pPr>
      <w:r>
        <w:rPr>
          <w:rFonts w:ascii="Liberation Mono" w:hAnsi="Liberation Mono"/>
          <w:sz w:val="18"/>
        </w:rPr>
        <w:t>gs://&lt;bucket&gt;/github-license-snapshots/</w:t>
      </w:r>
      <w:r>
        <w:br/>
      </w:r>
      <w:r>
        <w:rPr>
          <w:rFonts w:ascii="Liberation Mono" w:hAnsi="Liberation Mono"/>
          <w:sz w:val="18"/>
        </w:rPr>
        <w:t xml:space="preserve">  snapshot_date=YYYY-MM-DD/</w:t>
      </w:r>
      <w:r>
        <w:br/>
      </w:r>
      <w:r>
        <w:rPr>
          <w:rFonts w:ascii="Liberation Mono" w:hAnsi="Liberation Mono"/>
          <w:sz w:val="18"/>
        </w:rPr>
        <w:t xml:space="preserve">    run_id=&lt;cloud-run-execution&gt;/</w:t>
      </w:r>
      <w:r>
        <w:br/>
      </w:r>
      <w:r>
        <w:rPr>
          <w:rFonts w:ascii="Liberation Mono" w:hAnsi="Liberation Mono"/>
          <w:sz w:val="18"/>
        </w:rPr>
        <w:t xml:space="preserve">      raw/page-00001.json.gz</w:t>
      </w:r>
      <w:r>
        <w:br/>
      </w:r>
      <w:r>
        <w:rPr>
          <w:rFonts w:ascii="Liberation Mono" w:hAnsi="Liberation Mono"/>
          <w:sz w:val="18"/>
        </w:rPr>
        <w:t xml:space="preserve">      canonical/users.ndjson.gz</w:t>
      </w:r>
      <w:r>
        <w:br/>
      </w:r>
      <w:r>
        <w:rPr>
          <w:rFonts w:ascii="Liberation Mono" w:hAnsi="Liberation Mono"/>
          <w:sz w:val="18"/>
        </w:rPr>
        <w:t xml:space="preserve">      manifest/extracted.json.gz</w:t>
      </w:r>
      <w:r>
        <w:br/>
      </w:r>
      <w:r>
        <w:rPr>
          <w:rFonts w:ascii="Liberation Mono" w:hAnsi="Liberation Mono"/>
          <w:sz w:val="18"/>
        </w:rPr>
        <w:t xml:space="preserve">      manifest/validated.json.gz</w:t>
      </w:r>
    </w:p>
    <w:p>
      <w:r>
        <w:t>The snapshot tables are partitioned by snapshot_date. The user snapshot is clustered by github_login_normalized, license_type, and identity_key_type. Runtime SQL always includes the partition date so it remains compatible with required partition filters.</w:t>
      </w:r>
    </w:p>
    <w:p>
      <w:pPr>
        <w:pStyle w:val="Heading1"/>
        <w:keepNext/>
      </w:pPr>
      <w:r>
        <w:t>BigQuery data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13"/>
        <w:gridCol w:w="2513"/>
        <w:gridCol w:w="2513"/>
        <w:gridCol w:w="2513"/>
      </w:tblGrid>
      <w:tr>
        <w:trPr>
          <w:tblHeader w:val="true"/>
          <w:cantSplit/>
        </w:trPr>
        <w:tc>
          <w:tcPr>
            <w:tcW w:type="dxa" w:w="2592"/>
            <w:tcMar>
              <w:top w:w="120" w:type="dxa"/>
              <w:start w:w="140" w:type="dxa"/>
              <w:bottom w:w="120" w:type="dxa"/>
              <w:end w:w="140" w:type="dxa"/>
            </w:tcMar>
            <w:vAlign w:val="center"/>
            <w:shd w:fill="18364B"/>
          </w:tcPr>
          <w:p>
            <w:pPr>
              <w:jc w:val="left"/>
            </w:pPr>
            <w:r>
              <w:rPr>
                <w:b/>
                <w:color w:val="FFFFFF"/>
                <w:sz w:val="19"/>
              </w:rPr>
              <w:t>Object</w:t>
            </w:r>
          </w:p>
        </w:tc>
        <w:tc>
          <w:tcPr>
            <w:tcW w:type="dxa" w:w="2016"/>
            <w:tcMar>
              <w:top w:w="120" w:type="dxa"/>
              <w:start w:w="140" w:type="dxa"/>
              <w:bottom w:w="120" w:type="dxa"/>
              <w:end w:w="140" w:type="dxa"/>
            </w:tcMar>
            <w:vAlign w:val="center"/>
            <w:shd w:fill="18364B"/>
          </w:tcPr>
          <w:p>
            <w:pPr>
              <w:jc w:val="left"/>
            </w:pPr>
            <w:r>
              <w:rPr>
                <w:b/>
                <w:color w:val="FFFFFF"/>
                <w:sz w:val="19"/>
              </w:rPr>
              <w:t>Grain</w:t>
            </w:r>
          </w:p>
        </w:tc>
        <w:tc>
          <w:tcPr>
            <w:tcW w:type="dxa" w:w="2880"/>
            <w:tcMar>
              <w:top w:w="120" w:type="dxa"/>
              <w:start w:w="140" w:type="dxa"/>
              <w:bottom w:w="120" w:type="dxa"/>
              <w:end w:w="140" w:type="dxa"/>
            </w:tcMar>
            <w:vAlign w:val="center"/>
            <w:shd w:fill="18364B"/>
          </w:tcPr>
          <w:p>
            <w:pPr>
              <w:jc w:val="left"/>
            </w:pPr>
            <w:r>
              <w:rPr>
                <w:b/>
                <w:color w:val="FFFFFF"/>
                <w:sz w:val="19"/>
              </w:rPr>
              <w:t>Purpose</w:t>
            </w:r>
          </w:p>
        </w:tc>
        <w:tc>
          <w:tcPr>
            <w:tcW w:type="dxa" w:w="2376"/>
            <w:tcMar>
              <w:top w:w="120" w:type="dxa"/>
              <w:start w:w="140" w:type="dxa"/>
              <w:bottom w:w="120" w:type="dxa"/>
              <w:end w:w="140" w:type="dxa"/>
            </w:tcMar>
            <w:vAlign w:val="center"/>
            <w:shd w:fill="18364B"/>
          </w:tcPr>
          <w:p>
            <w:pPr>
              <w:jc w:val="left"/>
            </w:pPr>
            <w:r>
              <w:rPr>
                <w:b/>
                <w:color w:val="FFFFFF"/>
                <w:sz w:val="19"/>
              </w:rPr>
              <w:t>Lifecycle</w:t>
            </w:r>
          </w:p>
        </w:tc>
      </w:tr>
      <w:tr>
        <w:trPr>
          <w:cantSplit/>
        </w:trPr>
        <w:tc>
          <w:tcPr>
            <w:tcW w:type="dxa" w:w="2592"/>
            <w:tcMar>
              <w:top w:w="120" w:type="dxa"/>
              <w:start w:w="140" w:type="dxa"/>
              <w:bottom w:w="120" w:type="dxa"/>
              <w:end w:w="140" w:type="dxa"/>
            </w:tcMar>
            <w:vAlign w:val="center"/>
            <w:shd w:fill="FFFFFF"/>
          </w:tcPr>
          <w:p>
            <w:pPr>
              <w:spacing w:after="0" w:line="240" w:lineRule="auto"/>
            </w:pPr>
            <w:r>
              <w:rPr>
                <w:sz w:val="18"/>
              </w:rPr>
              <w:t>github_license_snapshot_runs</w:t>
            </w:r>
          </w:p>
        </w:tc>
        <w:tc>
          <w:tcPr>
            <w:tcW w:type="dxa" w:w="2016"/>
            <w:tcMar>
              <w:top w:w="120" w:type="dxa"/>
              <w:start w:w="140" w:type="dxa"/>
              <w:bottom w:w="120" w:type="dxa"/>
              <w:end w:w="140" w:type="dxa"/>
            </w:tcMar>
            <w:vAlign w:val="center"/>
            <w:shd w:fill="FFFFFF"/>
          </w:tcPr>
          <w:p>
            <w:pPr>
              <w:spacing w:after="0" w:line="240" w:lineRule="auto"/>
            </w:pPr>
            <w:r>
              <w:rPr>
                <w:sz w:val="18"/>
              </w:rPr>
              <w:t>One row per collector execution</w:t>
            </w:r>
          </w:p>
        </w:tc>
        <w:tc>
          <w:tcPr>
            <w:tcW w:type="dxa" w:w="2880"/>
            <w:tcMar>
              <w:top w:w="120" w:type="dxa"/>
              <w:start w:w="140" w:type="dxa"/>
              <w:bottom w:w="120" w:type="dxa"/>
              <w:end w:w="140" w:type="dxa"/>
            </w:tcMar>
            <w:vAlign w:val="center"/>
            <w:shd w:fill="FFFFFF"/>
          </w:tcPr>
          <w:p>
            <w:pPr>
              <w:spacing w:after="0" w:line="240" w:lineRule="auto"/>
            </w:pPr>
            <w:r>
              <w:rPr>
                <w:sz w:val="18"/>
              </w:rPr>
              <w:t>Commit marker, source totals, load counts, validation, and failure evidence</w:t>
            </w:r>
          </w:p>
        </w:tc>
        <w:tc>
          <w:tcPr>
            <w:tcW w:type="dxa" w:w="2376"/>
            <w:tcMar>
              <w:top w:w="120" w:type="dxa"/>
              <w:start w:w="140" w:type="dxa"/>
              <w:bottom w:w="120" w:type="dxa"/>
              <w:end w:w="140" w:type="dxa"/>
            </w:tcMar>
            <w:vAlign w:val="center"/>
            <w:shd w:fill="FFFFFF"/>
          </w:tcPr>
          <w:p>
            <w:pPr>
              <w:spacing w:after="0" w:line="240" w:lineRule="auto"/>
            </w:pPr>
            <w:r>
              <w:rPr>
                <w:sz w:val="18"/>
              </w:rPr>
              <w:t>Created and changed through Terraform; rows updated by the job</w:t>
            </w:r>
          </w:p>
        </w:tc>
      </w:tr>
      <w:tr>
        <w:trPr>
          <w:cantSplit/>
        </w:trPr>
        <w:tc>
          <w:tcPr>
            <w:tcW w:type="dxa" w:w="2592"/>
            <w:tcMar>
              <w:top w:w="120" w:type="dxa"/>
              <w:start w:w="140" w:type="dxa"/>
              <w:bottom w:w="120" w:type="dxa"/>
              <w:end w:w="140" w:type="dxa"/>
            </w:tcMar>
            <w:vAlign w:val="center"/>
            <w:shd w:fill="EAF2F8"/>
          </w:tcPr>
          <w:p>
            <w:pPr>
              <w:spacing w:after="0" w:line="240" w:lineRule="auto"/>
            </w:pPr>
            <w:r>
              <w:rPr>
                <w:sz w:val="18"/>
              </w:rPr>
              <w:t>github_license_user_snapshot</w:t>
            </w:r>
          </w:p>
        </w:tc>
        <w:tc>
          <w:tcPr>
            <w:tcW w:type="dxa" w:w="2016"/>
            <w:tcMar>
              <w:top w:w="120" w:type="dxa"/>
              <w:start w:w="140" w:type="dxa"/>
              <w:bottom w:w="120" w:type="dxa"/>
              <w:end w:w="140" w:type="dxa"/>
            </w:tcMar>
            <w:vAlign w:val="center"/>
            <w:shd w:fill="EAF2F8"/>
          </w:tcPr>
          <w:p>
            <w:pPr>
              <w:spacing w:after="0" w:line="240" w:lineRule="auto"/>
            </w:pPr>
            <w:r>
              <w:rPr>
                <w:sz w:val="18"/>
              </w:rPr>
              <w:t>One row per identity and run</w:t>
            </w:r>
          </w:p>
        </w:tc>
        <w:tc>
          <w:tcPr>
            <w:tcW w:type="dxa" w:w="2880"/>
            <w:tcMar>
              <w:top w:w="120" w:type="dxa"/>
              <w:start w:w="140" w:type="dxa"/>
              <w:bottom w:w="120" w:type="dxa"/>
              <w:end w:w="140" w:type="dxa"/>
            </w:tcMar>
            <w:vAlign w:val="center"/>
            <w:shd w:fill="EAF2F8"/>
          </w:tcPr>
          <w:p>
            <w:pPr>
              <w:spacing w:after="0" w:line="240" w:lineRule="auto"/>
            </w:pPr>
            <w:r>
              <w:rPr>
                <w:sz w:val="18"/>
              </w:rPr>
              <w:t>Immutable historical licensed-user inventory</w:t>
            </w:r>
          </w:p>
        </w:tc>
        <w:tc>
          <w:tcPr>
            <w:tcW w:type="dxa" w:w="2376"/>
            <w:tcMar>
              <w:top w:w="120" w:type="dxa"/>
              <w:start w:w="140" w:type="dxa"/>
              <w:bottom w:w="120" w:type="dxa"/>
              <w:end w:w="140" w:type="dxa"/>
            </w:tcMar>
            <w:vAlign w:val="center"/>
            <w:shd w:fill="EAF2F8"/>
          </w:tcPr>
          <w:p>
            <w:pPr>
              <w:spacing w:after="0" w:line="240" w:lineRule="auto"/>
            </w:pPr>
            <w:r>
              <w:rPr>
                <w:sz w:val="18"/>
              </w:rPr>
              <w:t>Append-only loads</w:t>
            </w:r>
          </w:p>
        </w:tc>
      </w:tr>
      <w:tr>
        <w:trPr>
          <w:cantSplit/>
        </w:trPr>
        <w:tc>
          <w:tcPr>
            <w:tcW w:type="dxa" w:w="2592"/>
            <w:tcMar>
              <w:top w:w="120" w:type="dxa"/>
              <w:start w:w="140" w:type="dxa"/>
              <w:bottom w:w="120" w:type="dxa"/>
              <w:end w:w="140" w:type="dxa"/>
            </w:tcMar>
            <w:vAlign w:val="center"/>
            <w:shd w:fill="FFFFFF"/>
          </w:tcPr>
          <w:p>
            <w:pPr>
              <w:spacing w:after="0" w:line="240" w:lineRule="auto"/>
            </w:pPr>
            <w:r>
              <w:rPr>
                <w:sz w:val="18"/>
              </w:rPr>
              <w:t>github_license_users_current</w:t>
            </w:r>
          </w:p>
        </w:tc>
        <w:tc>
          <w:tcPr>
            <w:tcW w:type="dxa" w:w="2016"/>
            <w:tcMar>
              <w:top w:w="120" w:type="dxa"/>
              <w:start w:w="140" w:type="dxa"/>
              <w:bottom w:w="120" w:type="dxa"/>
              <w:end w:w="140" w:type="dxa"/>
            </w:tcMar>
            <w:vAlign w:val="center"/>
            <w:shd w:fill="FFFFFF"/>
          </w:tcPr>
          <w:p>
            <w:pPr>
              <w:spacing w:after="0" w:line="240" w:lineRule="auto"/>
            </w:pPr>
            <w:r>
              <w:rPr>
                <w:sz w:val="18"/>
              </w:rPr>
              <w:t>One row per identity in latest complete run</w:t>
            </w:r>
          </w:p>
        </w:tc>
        <w:tc>
          <w:tcPr>
            <w:tcW w:type="dxa" w:w="2880"/>
            <w:tcMar>
              <w:top w:w="120" w:type="dxa"/>
              <w:start w:w="140" w:type="dxa"/>
              <w:bottom w:w="120" w:type="dxa"/>
              <w:end w:w="140" w:type="dxa"/>
            </w:tcMar>
            <w:vAlign w:val="center"/>
            <w:shd w:fill="FFFFFF"/>
          </w:tcPr>
          <w:p>
            <w:pPr>
              <w:spacing w:after="0" w:line="240" w:lineRule="auto"/>
            </w:pPr>
            <w:r>
              <w:rPr>
                <w:sz w:val="18"/>
              </w:rPr>
              <w:t>Stable current inventory for downstream joins</w:t>
            </w:r>
          </w:p>
        </w:tc>
        <w:tc>
          <w:tcPr>
            <w:tcW w:type="dxa" w:w="2376"/>
            <w:tcMar>
              <w:top w:w="120" w:type="dxa"/>
              <w:start w:w="140" w:type="dxa"/>
              <w:bottom w:w="120" w:type="dxa"/>
              <w:end w:w="140" w:type="dxa"/>
            </w:tcMar>
            <w:vAlign w:val="center"/>
            <w:shd w:fill="FFFFFF"/>
          </w:tcPr>
          <w:p>
            <w:pPr>
              <w:spacing w:after="0" w:line="240" w:lineRule="auto"/>
            </w:pPr>
            <w:r>
              <w:rPr>
                <w:sz w:val="18"/>
              </w:rPr>
              <w:t>Terraform-managed view</w:t>
            </w:r>
          </w:p>
        </w:tc>
      </w:tr>
      <w:tr>
        <w:trPr>
          <w:cantSplit/>
        </w:trPr>
        <w:tc>
          <w:tcPr>
            <w:tcW w:type="dxa" w:w="2592"/>
            <w:tcMar>
              <w:top w:w="120" w:type="dxa"/>
              <w:start w:w="140" w:type="dxa"/>
              <w:bottom w:w="120" w:type="dxa"/>
              <w:end w:w="140" w:type="dxa"/>
            </w:tcMar>
            <w:vAlign w:val="center"/>
            <w:shd w:fill="EAF2F8"/>
          </w:tcPr>
          <w:p>
            <w:pPr>
              <w:spacing w:after="0" w:line="240" w:lineRule="auto"/>
            </w:pPr>
            <w:r>
              <w:rPr>
                <w:sz w:val="18"/>
              </w:rPr>
              <w:t>github_user_activity_summary</w:t>
            </w:r>
          </w:p>
        </w:tc>
        <w:tc>
          <w:tcPr>
            <w:tcW w:type="dxa" w:w="2016"/>
            <w:tcMar>
              <w:top w:w="120" w:type="dxa"/>
              <w:start w:w="140" w:type="dxa"/>
              <w:bottom w:w="120" w:type="dxa"/>
              <w:end w:w="140" w:type="dxa"/>
            </w:tcMar>
            <w:vAlign w:val="center"/>
            <w:shd w:fill="EAF2F8"/>
          </w:tcPr>
          <w:p>
            <w:pPr>
              <w:spacing w:after="0" w:line="240" w:lineRule="auto"/>
            </w:pPr>
            <w:r>
              <w:rPr>
                <w:sz w:val="18"/>
              </w:rPr>
              <w:t>One row per audit actor</w:t>
            </w:r>
          </w:p>
        </w:tc>
        <w:tc>
          <w:tcPr>
            <w:tcW w:type="dxa" w:w="2880"/>
            <w:tcMar>
              <w:top w:w="120" w:type="dxa"/>
              <w:start w:w="140" w:type="dxa"/>
              <w:bottom w:w="120" w:type="dxa"/>
              <w:end w:w="140" w:type="dxa"/>
            </w:tcMar>
            <w:vAlign w:val="center"/>
            <w:shd w:fill="EAF2F8"/>
          </w:tcPr>
          <w:p>
            <w:pPr>
              <w:spacing w:after="0" w:line="240" w:lineRule="auto"/>
            </w:pPr>
            <w:r>
              <w:rPr>
                <w:sz w:val="18"/>
              </w:rPr>
              <w:t>Latest activity, Git activity, authentication, and event counts</w:t>
            </w:r>
          </w:p>
        </w:tc>
        <w:tc>
          <w:tcPr>
            <w:tcW w:type="dxa" w:w="2376"/>
            <w:tcMar>
              <w:top w:w="120" w:type="dxa"/>
              <w:start w:w="140" w:type="dxa"/>
              <w:bottom w:w="120" w:type="dxa"/>
              <w:end w:w="140" w:type="dxa"/>
            </w:tcMar>
            <w:vAlign w:val="center"/>
            <w:shd w:fill="EAF2F8"/>
          </w:tcPr>
          <w:p>
            <w:pPr>
              <w:spacing w:after="0" w:line="240" w:lineRule="auto"/>
            </w:pPr>
            <w:r>
              <w:rPr>
                <w:sz w:val="18"/>
              </w:rPr>
              <w:t>Scheduled aggregation</w:t>
            </w:r>
          </w:p>
        </w:tc>
      </w:tr>
      <w:tr>
        <w:trPr>
          <w:cantSplit/>
        </w:trPr>
        <w:tc>
          <w:tcPr>
            <w:tcW w:type="dxa" w:w="2592"/>
            <w:tcMar>
              <w:top w:w="120" w:type="dxa"/>
              <w:start w:w="140" w:type="dxa"/>
              <w:bottom w:w="120" w:type="dxa"/>
              <w:end w:w="140" w:type="dxa"/>
            </w:tcMar>
            <w:vAlign w:val="center"/>
            <w:shd w:fill="FFFFFF"/>
          </w:tcPr>
          <w:p>
            <w:pPr>
              <w:spacing w:after="0" w:line="240" w:lineRule="auto"/>
            </w:pPr>
            <w:r>
              <w:rPr>
                <w:sz w:val="18"/>
              </w:rPr>
              <w:t>github_license_user_eligibility_snapshot</w:t>
            </w:r>
          </w:p>
        </w:tc>
        <w:tc>
          <w:tcPr>
            <w:tcW w:type="dxa" w:w="2016"/>
            <w:tcMar>
              <w:top w:w="120" w:type="dxa"/>
              <w:start w:w="140" w:type="dxa"/>
              <w:bottom w:w="120" w:type="dxa"/>
              <w:end w:w="140" w:type="dxa"/>
            </w:tcMar>
            <w:vAlign w:val="center"/>
            <w:shd w:fill="FFFFFF"/>
          </w:tcPr>
          <w:p>
            <w:pPr>
              <w:spacing w:after="0" w:line="240" w:lineRule="auto"/>
            </w:pPr>
            <w:r>
              <w:rPr>
                <w:sz w:val="18"/>
              </w:rPr>
              <w:t>One row per licensed user and date</w:t>
            </w:r>
          </w:p>
        </w:tc>
        <w:tc>
          <w:tcPr>
            <w:tcW w:type="dxa" w:w="2880"/>
            <w:tcMar>
              <w:top w:w="120" w:type="dxa"/>
              <w:start w:w="140" w:type="dxa"/>
              <w:bottom w:w="120" w:type="dxa"/>
              <w:end w:w="140" w:type="dxa"/>
            </w:tcMar>
            <w:vAlign w:val="center"/>
            <w:shd w:fill="FFFFFF"/>
          </w:tcPr>
          <w:p>
            <w:pPr>
              <w:spacing w:after="0" w:line="240" w:lineRule="auto"/>
            </w:pPr>
            <w:r>
              <w:rPr>
                <w:sz w:val="18"/>
              </w:rPr>
              <w:t>Staff match, UBR hierarchy, flow type, account type, and policy eligibility</w:t>
            </w:r>
          </w:p>
        </w:tc>
        <w:tc>
          <w:tcPr>
            <w:tcW w:type="dxa" w:w="2376"/>
            <w:tcMar>
              <w:top w:w="120" w:type="dxa"/>
              <w:start w:w="140" w:type="dxa"/>
              <w:bottom w:w="120" w:type="dxa"/>
              <w:end w:w="140" w:type="dxa"/>
            </w:tcMar>
            <w:vAlign w:val="center"/>
            <w:shd w:fill="FFFFFF"/>
          </w:tcPr>
          <w:p>
            <w:pPr>
              <w:spacing w:after="0" w:line="240" w:lineRule="auto"/>
            </w:pPr>
            <w:r>
              <w:rPr>
                <w:sz w:val="18"/>
              </w:rPr>
              <w:t>Daily snapshot</w:t>
            </w:r>
          </w:p>
        </w:tc>
      </w:tr>
      <w:tr>
        <w:trPr>
          <w:cantSplit/>
        </w:trPr>
        <w:tc>
          <w:tcPr>
            <w:tcW w:type="dxa" w:w="2592"/>
            <w:tcMar>
              <w:top w:w="120" w:type="dxa"/>
              <w:start w:w="140" w:type="dxa"/>
              <w:bottom w:w="120" w:type="dxa"/>
              <w:end w:w="140" w:type="dxa"/>
            </w:tcMar>
            <w:vAlign w:val="center"/>
            <w:shd w:fill="EAF2F8"/>
          </w:tcPr>
          <w:p>
            <w:pPr>
              <w:spacing w:after="0" w:line="240" w:lineRule="auto"/>
            </w:pPr>
            <w:r>
              <w:rPr>
                <w:sz w:val="18"/>
              </w:rPr>
              <w:t>github_scim_membership_snapshot</w:t>
            </w:r>
          </w:p>
        </w:tc>
        <w:tc>
          <w:tcPr>
            <w:tcW w:type="dxa" w:w="2016"/>
            <w:tcMar>
              <w:top w:w="120" w:type="dxa"/>
              <w:start w:w="140" w:type="dxa"/>
              <w:bottom w:w="120" w:type="dxa"/>
              <w:end w:w="140" w:type="dxa"/>
            </w:tcMar>
            <w:vAlign w:val="center"/>
            <w:shd w:fill="EAF2F8"/>
          </w:tcPr>
          <w:p>
            <w:pPr>
              <w:spacing w:after="0" w:line="240" w:lineRule="auto"/>
            </w:pPr>
            <w:r>
              <w:rPr>
                <w:sz w:val="18"/>
              </w:rPr>
              <w:t>One row per user, target group, and date</w:t>
            </w:r>
          </w:p>
        </w:tc>
        <w:tc>
          <w:tcPr>
            <w:tcW w:type="dxa" w:w="2880"/>
            <w:tcMar>
              <w:top w:w="120" w:type="dxa"/>
              <w:start w:w="140" w:type="dxa"/>
              <w:bottom w:w="120" w:type="dxa"/>
              <w:end w:w="140" w:type="dxa"/>
            </w:tcMar>
            <w:vAlign w:val="center"/>
            <w:shd w:fill="EAF2F8"/>
          </w:tcPr>
          <w:p>
            <w:pPr>
              <w:spacing w:after="0" w:line="240" w:lineRule="auto"/>
            </w:pPr>
            <w:r>
              <w:rPr>
                <w:sz w:val="18"/>
              </w:rPr>
              <w:t>Persisted LDAP or SCIM membership result and any lookup error</w:t>
            </w:r>
          </w:p>
        </w:tc>
        <w:tc>
          <w:tcPr>
            <w:tcW w:type="dxa" w:w="2376"/>
            <w:tcMar>
              <w:top w:w="120" w:type="dxa"/>
              <w:start w:w="140" w:type="dxa"/>
              <w:bottom w:w="120" w:type="dxa"/>
              <w:end w:w="140" w:type="dxa"/>
            </w:tcMar>
            <w:vAlign w:val="center"/>
            <w:shd w:fill="EAF2F8"/>
          </w:tcPr>
          <w:p>
            <w:pPr>
              <w:spacing w:after="0" w:line="240" w:lineRule="auto"/>
            </w:pPr>
            <w:r>
              <w:rPr>
                <w:sz w:val="18"/>
              </w:rPr>
              <w:t>Daily snapshot</w:t>
            </w:r>
          </w:p>
        </w:tc>
      </w:tr>
      <w:tr>
        <w:trPr>
          <w:cantSplit/>
        </w:trPr>
        <w:tc>
          <w:tcPr>
            <w:tcW w:type="dxa" w:w="2592"/>
            <w:tcMar>
              <w:top w:w="120" w:type="dxa"/>
              <w:start w:w="140" w:type="dxa"/>
              <w:bottom w:w="120" w:type="dxa"/>
              <w:end w:w="140" w:type="dxa"/>
            </w:tcMar>
            <w:vAlign w:val="center"/>
            <w:shd w:fill="FFFFFF"/>
          </w:tcPr>
          <w:p>
            <w:pPr>
              <w:spacing w:after="0" w:line="240" w:lineRule="auto"/>
            </w:pPr>
            <w:r>
              <w:rPr>
                <w:sz w:val="18"/>
              </w:rPr>
              <w:t>github_license_dormancy_user_status</w:t>
            </w:r>
          </w:p>
        </w:tc>
        <w:tc>
          <w:tcPr>
            <w:tcW w:type="dxa" w:w="2016"/>
            <w:tcMar>
              <w:top w:w="120" w:type="dxa"/>
              <w:start w:w="140" w:type="dxa"/>
              <w:bottom w:w="120" w:type="dxa"/>
              <w:end w:w="140" w:type="dxa"/>
            </w:tcMar>
            <w:vAlign w:val="center"/>
            <w:shd w:fill="FFFFFF"/>
          </w:tcPr>
          <w:p>
            <w:pPr>
              <w:spacing w:after="0" w:line="240" w:lineRule="auto"/>
            </w:pPr>
            <w:r>
              <w:rPr>
                <w:sz w:val="18"/>
              </w:rPr>
              <w:t>One row per current licensed user</w:t>
            </w:r>
          </w:p>
        </w:tc>
        <w:tc>
          <w:tcPr>
            <w:tcW w:type="dxa" w:w="2880"/>
            <w:tcMar>
              <w:top w:w="120" w:type="dxa"/>
              <w:start w:w="140" w:type="dxa"/>
              <w:bottom w:w="120" w:type="dxa"/>
              <w:end w:w="140" w:type="dxa"/>
            </w:tcMar>
            <w:vAlign w:val="center"/>
            <w:shd w:fill="FFFFFF"/>
          </w:tcPr>
          <w:p>
            <w:pPr>
              <w:spacing w:after="0" w:line="240" w:lineRule="auto"/>
            </w:pPr>
            <w:r>
              <w:rPr>
                <w:sz w:val="18"/>
              </w:rPr>
              <w:t>Applicable signal, inactivity bands, exclusion reason, and candidate state</w:t>
            </w:r>
          </w:p>
        </w:tc>
        <w:tc>
          <w:tcPr>
            <w:tcW w:type="dxa" w:w="2376"/>
            <w:tcMar>
              <w:top w:w="120" w:type="dxa"/>
              <w:start w:w="140" w:type="dxa"/>
              <w:bottom w:w="120" w:type="dxa"/>
              <w:end w:w="140" w:type="dxa"/>
            </w:tcMar>
            <w:vAlign w:val="center"/>
            <w:shd w:fill="FFFFFF"/>
          </w:tcPr>
          <w:p>
            <w:pPr>
              <w:spacing w:after="0" w:line="240" w:lineRule="auto"/>
            </w:pPr>
            <w:r>
              <w:rPr>
                <w:sz w:val="18"/>
              </w:rPr>
              <w:t>Derived view or scheduled table</w:t>
            </w:r>
          </w:p>
        </w:tc>
      </w:tr>
      <w:tr>
        <w:trPr>
          <w:cantSplit/>
        </w:trPr>
        <w:tc>
          <w:tcPr>
            <w:tcW w:type="dxa" w:w="2592"/>
            <w:tcMar>
              <w:top w:w="120" w:type="dxa"/>
              <w:start w:w="140" w:type="dxa"/>
              <w:bottom w:w="120" w:type="dxa"/>
              <w:end w:w="140" w:type="dxa"/>
            </w:tcMar>
            <w:vAlign w:val="center"/>
            <w:shd w:fill="EAF2F8"/>
          </w:tcPr>
          <w:p>
            <w:pPr>
              <w:spacing w:after="0" w:line="240" w:lineRule="auto"/>
            </w:pPr>
            <w:r>
              <w:rPr>
                <w:sz w:val="18"/>
              </w:rPr>
              <w:t>github_license_removal_candidate_actions</w:t>
            </w:r>
          </w:p>
        </w:tc>
        <w:tc>
          <w:tcPr>
            <w:tcW w:type="dxa" w:w="2016"/>
            <w:tcMar>
              <w:top w:w="120" w:type="dxa"/>
              <w:start w:w="140" w:type="dxa"/>
              <w:bottom w:w="120" w:type="dxa"/>
              <w:end w:w="140" w:type="dxa"/>
            </w:tcMar>
            <w:vAlign w:val="center"/>
            <w:shd w:fill="EAF2F8"/>
          </w:tcPr>
          <w:p>
            <w:pPr>
              <w:spacing w:after="0" w:line="240" w:lineRule="auto"/>
            </w:pPr>
            <w:r>
              <w:rPr>
                <w:sz w:val="18"/>
              </w:rPr>
              <w:t>One row per candidate and target group</w:t>
            </w:r>
          </w:p>
        </w:tc>
        <w:tc>
          <w:tcPr>
            <w:tcW w:type="dxa" w:w="2880"/>
            <w:tcMar>
              <w:top w:w="120" w:type="dxa"/>
              <w:start w:w="140" w:type="dxa"/>
              <w:bottom w:w="120" w:type="dxa"/>
              <w:end w:w="140" w:type="dxa"/>
            </w:tcMar>
            <w:vAlign w:val="center"/>
            <w:shd w:fill="EAF2F8"/>
          </w:tcPr>
          <w:p>
            <w:pPr>
              <w:spacing w:after="0" w:line="240" w:lineRule="auto"/>
            </w:pPr>
            <w:r>
              <w:rPr>
                <w:sz w:val="18"/>
              </w:rPr>
              <w:t>Operational removal actions without duplicating dashboard user counts</w:t>
            </w:r>
          </w:p>
        </w:tc>
        <w:tc>
          <w:tcPr>
            <w:tcW w:type="dxa" w:w="2376"/>
            <w:tcMar>
              <w:top w:w="120" w:type="dxa"/>
              <w:start w:w="140" w:type="dxa"/>
              <w:bottom w:w="120" w:type="dxa"/>
              <w:end w:w="140" w:type="dxa"/>
            </w:tcMar>
            <w:vAlign w:val="center"/>
            <w:shd w:fill="EAF2F8"/>
          </w:tcPr>
          <w:p>
            <w:pPr>
              <w:spacing w:after="0" w:line="240" w:lineRule="auto"/>
            </w:pPr>
            <w:r>
              <w:rPr>
                <w:sz w:val="18"/>
              </w:rPr>
              <w:t>Derived view</w:t>
            </w:r>
          </w:p>
        </w:tc>
      </w:tr>
    </w:tbl>
    <w:p>
      <w:pPr>
        <w:spacing w:after="20"/>
      </w:pPr>
    </w:p>
    <w:p>
      <w:pPr>
        <w:pStyle w:val="Heading2"/>
        <w:keepNext/>
      </w:pPr>
      <w:r>
        <w:t>Snapshot user schema groups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26"/>
        <w:gridCol w:w="5026"/>
      </w:tblGrid>
      <w:tr>
        <w:trPr>
          <w:tblHeader w:val="true"/>
          <w:cantSplit/>
        </w:trPr>
        <w:tc>
          <w:tcPr>
            <w:tcW w:type="dxa" w:w="2880"/>
            <w:tcMar>
              <w:top w:w="120" w:type="dxa"/>
              <w:start w:w="140" w:type="dxa"/>
              <w:bottom w:w="120" w:type="dxa"/>
              <w:end w:w="140" w:type="dxa"/>
            </w:tcMar>
            <w:vAlign w:val="center"/>
            <w:shd w:fill="18364B"/>
          </w:tcPr>
          <w:p>
            <w:pPr>
              <w:jc w:val="left"/>
            </w:pPr>
            <w:r>
              <w:rPr>
                <w:b/>
                <w:color w:val="FFFFFF"/>
                <w:sz w:val="19"/>
              </w:rPr>
              <w:t>Field group</w:t>
            </w:r>
          </w:p>
        </w:tc>
        <w:tc>
          <w:tcPr>
            <w:tcW w:type="dxa" w:w="6984"/>
            <w:tcMar>
              <w:top w:w="120" w:type="dxa"/>
              <w:start w:w="140" w:type="dxa"/>
              <w:bottom w:w="120" w:type="dxa"/>
              <w:end w:w="140" w:type="dxa"/>
            </w:tcMar>
            <w:vAlign w:val="center"/>
            <w:shd w:fill="18364B"/>
          </w:tcPr>
          <w:p>
            <w:pPr>
              <w:jc w:val="left"/>
            </w:pPr>
            <w:r>
              <w:rPr>
                <w:b/>
                <w:color w:val="FFFFFF"/>
                <w:sz w:val="19"/>
              </w:rPr>
              <w:t>Representative fields</w:t>
            </w:r>
          </w:p>
        </w:tc>
      </w:tr>
      <w:tr>
        <w:trPr>
          <w:cantSplit/>
        </w:trPr>
        <w:tc>
          <w:tcPr>
            <w:tcW w:type="dxa" w:w="2880"/>
            <w:tcMar>
              <w:top w:w="120" w:type="dxa"/>
              <w:start w:w="140" w:type="dxa"/>
              <w:bottom w:w="120" w:type="dxa"/>
              <w:end w:w="140" w:type="dxa"/>
            </w:tcMar>
            <w:vAlign w:val="center"/>
            <w:shd w:fill="FFFFFF"/>
          </w:tcPr>
          <w:p>
            <w:pPr>
              <w:spacing w:after="0" w:line="240" w:lineRule="auto"/>
            </w:pPr>
            <w:r>
              <w:rPr>
                <w:sz w:val="18"/>
              </w:rPr>
              <w:t>Run lineage</w:t>
            </w:r>
          </w:p>
        </w:tc>
        <w:tc>
          <w:tcPr>
            <w:tcW w:type="dxa" w:w="6984"/>
            <w:tcMar>
              <w:top w:w="120" w:type="dxa"/>
              <w:start w:w="140" w:type="dxa"/>
              <w:bottom w:w="120" w:type="dxa"/>
              <w:end w:w="140" w:type="dxa"/>
            </w:tcMar>
            <w:vAlign w:val="center"/>
            <w:shd w:fill="FFFFFF"/>
          </w:tcPr>
          <w:p>
            <w:pPr>
              <w:spacing w:after="0" w:line="240" w:lineRule="auto"/>
            </w:pPr>
            <w:r>
              <w:rPr>
                <w:sz w:val="18"/>
              </w:rPr>
              <w:t>snapshot_date, snapshot_run_id, captured_at, enterprise_slug, loaded_at</w:t>
            </w:r>
          </w:p>
        </w:tc>
      </w:tr>
      <w:tr>
        <w:trPr>
          <w:cantSplit/>
        </w:trPr>
        <w:tc>
          <w:tcPr>
            <w:tcW w:type="dxa" w:w="2880"/>
            <w:tcMar>
              <w:top w:w="120" w:type="dxa"/>
              <w:start w:w="140" w:type="dxa"/>
              <w:bottom w:w="120" w:type="dxa"/>
              <w:end w:w="140" w:type="dxa"/>
            </w:tcMar>
            <w:vAlign w:val="center"/>
            <w:shd w:fill="EAF2F8"/>
          </w:tcPr>
          <w:p>
            <w:pPr>
              <w:spacing w:after="0" w:line="240" w:lineRule="auto"/>
            </w:pPr>
            <w:r>
              <w:rPr>
                <w:sz w:val="18"/>
              </w:rPr>
              <w:t>Identity</w:t>
            </w:r>
          </w:p>
        </w:tc>
        <w:tc>
          <w:tcPr>
            <w:tcW w:type="dxa" w:w="6984"/>
            <w:tcMar>
              <w:top w:w="120" w:type="dxa"/>
              <w:start w:w="140" w:type="dxa"/>
              <w:bottom w:w="120" w:type="dxa"/>
              <w:end w:w="140" w:type="dxa"/>
            </w:tcMar>
            <w:vAlign w:val="center"/>
            <w:shd w:fill="EAF2F8"/>
          </w:tcPr>
          <w:p>
            <w:pPr>
              <w:spacing w:after="0" w:line="240" w:lineRule="auto"/>
            </w:pPr>
            <w:r>
              <w:rPr>
                <w:sz w:val="18"/>
              </w:rPr>
              <w:t>license_identity_key, identity_key_type, github_login, github_login_normalized, saml_name_id</w:t>
            </w:r>
          </w:p>
        </w:tc>
      </w:tr>
      <w:tr>
        <w:trPr>
          <w:cantSplit/>
        </w:trPr>
        <w:tc>
          <w:tcPr>
            <w:tcW w:type="dxa" w:w="2880"/>
            <w:tcMar>
              <w:top w:w="120" w:type="dxa"/>
              <w:start w:w="140" w:type="dxa"/>
              <w:bottom w:w="120" w:type="dxa"/>
              <w:end w:w="140" w:type="dxa"/>
            </w:tcMar>
            <w:vAlign w:val="center"/>
            <w:shd w:fill="FFFFFF"/>
          </w:tcPr>
          <w:p>
            <w:pPr>
              <w:spacing w:after="0" w:line="240" w:lineRule="auto"/>
            </w:pPr>
            <w:r>
              <w:rPr>
                <w:sz w:val="18"/>
              </w:rPr>
              <w:t>Profile and contact</w:t>
            </w:r>
          </w:p>
        </w:tc>
        <w:tc>
          <w:tcPr>
            <w:tcW w:type="dxa" w:w="6984"/>
            <w:tcMar>
              <w:top w:w="120" w:type="dxa"/>
              <w:start w:w="140" w:type="dxa"/>
              <w:bottom w:w="120" w:type="dxa"/>
              <w:end w:w="140" w:type="dxa"/>
            </w:tcMar>
            <w:vAlign w:val="center"/>
            <w:shd w:fill="FFFFFF"/>
          </w:tcPr>
          <w:p>
            <w:pPr>
              <w:spacing w:after="0" w:line="240" w:lineRule="auto"/>
            </w:pPr>
            <w:r>
              <w:rPr>
                <w:sz w:val="18"/>
              </w:rPr>
              <w:t>github_name, github_profile_url, email_address, verified_domain_emails</w:t>
            </w:r>
          </w:p>
        </w:tc>
      </w:tr>
      <w:tr>
        <w:trPr>
          <w:cantSplit/>
        </w:trPr>
        <w:tc>
          <w:tcPr>
            <w:tcW w:type="dxa" w:w="2880"/>
            <w:tcMar>
              <w:top w:w="120" w:type="dxa"/>
              <w:start w:w="140" w:type="dxa"/>
              <w:bottom w:w="120" w:type="dxa"/>
              <w:end w:w="140" w:type="dxa"/>
            </w:tcMar>
            <w:vAlign w:val="center"/>
            <w:shd w:fill="EAF2F8"/>
          </w:tcPr>
          <w:p>
            <w:pPr>
              <w:spacing w:after="0" w:line="240" w:lineRule="auto"/>
            </w:pPr>
            <w:r>
              <w:rPr>
                <w:sz w:val="18"/>
              </w:rPr>
              <w:t>License and roles</w:t>
            </w:r>
          </w:p>
        </w:tc>
        <w:tc>
          <w:tcPr>
            <w:tcW w:type="dxa" w:w="6984"/>
            <w:tcMar>
              <w:top w:w="120" w:type="dxa"/>
              <w:start w:w="140" w:type="dxa"/>
              <w:bottom w:w="120" w:type="dxa"/>
              <w:end w:w="140" w:type="dxa"/>
            </w:tcMar>
            <w:vAlign w:val="center"/>
            <w:shd w:fill="EAF2F8"/>
          </w:tcPr>
          <w:p>
            <w:pPr>
              <w:spacing w:after="0" w:line="240" w:lineRule="auto"/>
            </w:pPr>
            <w:r>
              <w:rPr>
                <w:sz w:val="18"/>
              </w:rPr>
              <w:t>license_type, member_roles, enterprise_roles, pending_org_invites</w:t>
            </w:r>
          </w:p>
        </w:tc>
      </w:tr>
      <w:tr>
        <w:trPr>
          <w:cantSplit/>
        </w:trPr>
        <w:tc>
          <w:tcPr>
            <w:tcW w:type="dxa" w:w="2880"/>
            <w:tcMar>
              <w:top w:w="120" w:type="dxa"/>
              <w:start w:w="140" w:type="dxa"/>
              <w:bottom w:w="120" w:type="dxa"/>
              <w:end w:w="140" w:type="dxa"/>
            </w:tcMar>
            <w:vAlign w:val="center"/>
            <w:shd w:fill="FFFFFF"/>
          </w:tcPr>
          <w:p>
            <w:pPr>
              <w:spacing w:after="0" w:line="240" w:lineRule="auto"/>
            </w:pPr>
            <w:r>
              <w:rPr>
                <w:sz w:val="18"/>
              </w:rPr>
              <w:t>Account types</w:t>
            </w:r>
          </w:p>
        </w:tc>
        <w:tc>
          <w:tcPr>
            <w:tcW w:type="dxa" w:w="6984"/>
            <w:tcMar>
              <w:top w:w="120" w:type="dxa"/>
              <w:start w:w="140" w:type="dxa"/>
              <w:bottom w:w="120" w:type="dxa"/>
              <w:end w:w="140" w:type="dxa"/>
            </w:tcMar>
            <w:vAlign w:val="center"/>
            <w:shd w:fill="FFFFFF"/>
          </w:tcPr>
          <w:p>
            <w:pPr>
              <w:spacing w:after="0" w:line="240" w:lineRule="auto"/>
            </w:pPr>
            <w:r>
              <w:rPr>
                <w:sz w:val="18"/>
              </w:rPr>
              <w:t>is_github_com_user, is_enterprise_server_user, is_visual_studio_subscription_user</w:t>
            </w:r>
          </w:p>
        </w:tc>
      </w:tr>
      <w:tr>
        <w:trPr>
          <w:cantSplit/>
        </w:trPr>
        <w:tc>
          <w:tcPr>
            <w:tcW w:type="dxa" w:w="2880"/>
            <w:tcMar>
              <w:top w:w="120" w:type="dxa"/>
              <w:start w:w="140" w:type="dxa"/>
              <w:bottom w:w="120" w:type="dxa"/>
              <w:end w:w="140" w:type="dxa"/>
            </w:tcMar>
            <w:vAlign w:val="center"/>
            <w:shd w:fill="EAF2F8"/>
          </w:tcPr>
          <w:p>
            <w:pPr>
              <w:spacing w:after="0" w:line="240" w:lineRule="auto"/>
            </w:pPr>
            <w:r>
              <w:rPr>
                <w:sz w:val="18"/>
              </w:rPr>
              <w:t>Security and linked accounts</w:t>
            </w:r>
          </w:p>
        </w:tc>
        <w:tc>
          <w:tcPr>
            <w:tcW w:type="dxa" w:w="6984"/>
            <w:tcMar>
              <w:top w:w="120" w:type="dxa"/>
              <w:start w:w="140" w:type="dxa"/>
              <w:bottom w:w="120" w:type="dxa"/>
              <w:end w:w="140" w:type="dxa"/>
            </w:tcMar>
            <w:vAlign w:val="center"/>
            <w:shd w:fill="EAF2F8"/>
          </w:tcPr>
          <w:p>
            <w:pPr>
              <w:spacing w:after="0" w:line="240" w:lineRule="auto"/>
            </w:pPr>
            <w:r>
              <w:rPr>
                <w:sz w:val="18"/>
              </w:rPr>
              <w:t>two_factor_auth_enabled, enterprise_server_user_ids, enterprise_server_emails, total_user_accounts</w:t>
            </w:r>
          </w:p>
        </w:tc>
      </w:tr>
      <w:tr>
        <w:trPr>
          <w:cantSplit/>
        </w:trPr>
        <w:tc>
          <w:tcPr>
            <w:tcW w:type="dxa" w:w="2880"/>
            <w:tcMar>
              <w:top w:w="120" w:type="dxa"/>
              <w:start w:w="140" w:type="dxa"/>
              <w:bottom w:w="120" w:type="dxa"/>
              <w:end w:w="140" w:type="dxa"/>
            </w:tcMar>
            <w:vAlign w:val="center"/>
            <w:shd w:fill="FFFFFF"/>
          </w:tcPr>
          <w:p>
            <w:pPr>
              <w:spacing w:after="0" w:line="240" w:lineRule="auto"/>
            </w:pPr>
            <w:r>
              <w:rPr>
                <w:sz w:val="18"/>
              </w:rPr>
              <w:t>Source lineage</w:t>
            </w:r>
          </w:p>
        </w:tc>
        <w:tc>
          <w:tcPr>
            <w:tcW w:type="dxa" w:w="6984"/>
            <w:tcMar>
              <w:top w:w="120" w:type="dxa"/>
              <w:start w:w="140" w:type="dxa"/>
              <w:bottom w:w="120" w:type="dxa"/>
              <w:end w:w="140" w:type="dxa"/>
            </w:tcMar>
            <w:vAlign w:val="center"/>
            <w:shd w:fill="FFFFFF"/>
          </w:tcPr>
          <w:p>
            <w:pPr>
              <w:spacing w:after="0" w:line="240" w:lineRule="auto"/>
            </w:pPr>
            <w:r>
              <w:rPr>
                <w:sz w:val="18"/>
              </w:rPr>
              <w:t>source_system, source_api_version, collector_version, source_record_hash</w:t>
            </w:r>
          </w:p>
        </w:tc>
      </w:tr>
    </w:tbl>
    <w:p>
      <w:pPr>
        <w:spacing w:after="20"/>
      </w:pPr>
    </w:p>
    <w:p>
      <w:r>
        <w:t>advanced_security_enabled remains null in this collector because the consumed-licenses response does not provide a per-user Advanced Security flag. Advanced Security active-committer reporting requires a separate API flow and should not be inferred here.</w:t>
      </w:r>
    </w:p>
    <w:p>
      <w:pPr>
        <w:pStyle w:val="Heading1"/>
        <w:keepNext/>
      </w:pPr>
      <w:r>
        <w:t>Run status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13"/>
        <w:gridCol w:w="2513"/>
        <w:gridCol w:w="2513"/>
        <w:gridCol w:w="2513"/>
      </w:tblGrid>
      <w:tr>
        <w:trPr>
          <w:tblHeader w:val="true"/>
          <w:cantSplit/>
        </w:trPr>
        <w:tc>
          <w:tcPr>
            <w:tcW w:type="dxa" w:w="1757"/>
            <w:tcMar>
              <w:top w:w="120" w:type="dxa"/>
              <w:start w:w="140" w:type="dxa"/>
              <w:bottom w:w="120" w:type="dxa"/>
              <w:end w:w="140" w:type="dxa"/>
            </w:tcMar>
            <w:vAlign w:val="center"/>
            <w:shd w:fill="18364B"/>
          </w:tcPr>
          <w:p>
            <w:pPr>
              <w:jc w:val="left"/>
            </w:pPr>
            <w:r>
              <w:rPr>
                <w:b/>
                <w:color w:val="FFFFFF"/>
                <w:sz w:val="19"/>
              </w:rPr>
              <w:t>Status</w:t>
            </w:r>
          </w:p>
        </w:tc>
        <w:tc>
          <w:tcPr>
            <w:tcW w:type="dxa" w:w="3917"/>
            <w:tcMar>
              <w:top w:w="120" w:type="dxa"/>
              <w:start w:w="140" w:type="dxa"/>
              <w:bottom w:w="120" w:type="dxa"/>
              <w:end w:w="140" w:type="dxa"/>
            </w:tcMar>
            <w:vAlign w:val="center"/>
            <w:shd w:fill="18364B"/>
          </w:tcPr>
          <w:p>
            <w:pPr>
              <w:jc w:val="left"/>
            </w:pPr>
            <w:r>
              <w:rPr>
                <w:b/>
                <w:color w:val="FFFFFF"/>
                <w:sz w:val="19"/>
              </w:rPr>
              <w:t>Meaning</w:t>
            </w:r>
          </w:p>
        </w:tc>
        <w:tc>
          <w:tcPr>
            <w:tcW w:type="dxa" w:w="1800"/>
            <w:tcMar>
              <w:top w:w="120" w:type="dxa"/>
              <w:start w:w="140" w:type="dxa"/>
              <w:bottom w:w="120" w:type="dxa"/>
              <w:end w:w="140" w:type="dxa"/>
            </w:tcMar>
            <w:vAlign w:val="center"/>
            <w:shd w:fill="18364B"/>
          </w:tcPr>
          <w:p>
            <w:pPr>
              <w:jc w:val="left"/>
            </w:pPr>
            <w:r>
              <w:rPr>
                <w:b/>
                <w:color w:val="FFFFFF"/>
                <w:sz w:val="19"/>
              </w:rPr>
              <w:t>Visible as current</w:t>
            </w:r>
          </w:p>
        </w:tc>
        <w:tc>
          <w:tcPr>
            <w:tcW w:type="dxa" w:w="2390"/>
            <w:tcMar>
              <w:top w:w="120" w:type="dxa"/>
              <w:start w:w="140" w:type="dxa"/>
              <w:bottom w:w="120" w:type="dxa"/>
              <w:end w:w="140" w:type="dxa"/>
            </w:tcMar>
            <w:vAlign w:val="center"/>
            <w:shd w:fill="18364B"/>
          </w:tcPr>
          <w:p>
            <w:pPr>
              <w:jc w:val="left"/>
            </w:pPr>
            <w:r>
              <w:rPr>
                <w:b/>
                <w:color w:val="FFFFFF"/>
                <w:sz w:val="19"/>
              </w:rPr>
              <w:t>Action</w:t>
            </w:r>
          </w:p>
        </w:tc>
      </w:tr>
      <w:tr>
        <w:trPr>
          <w:cantSplit/>
        </w:trPr>
        <w:tc>
          <w:tcPr>
            <w:tcW w:type="dxa" w:w="1757"/>
            <w:tcMar>
              <w:top w:w="120" w:type="dxa"/>
              <w:start w:w="140" w:type="dxa"/>
              <w:bottom w:w="120" w:type="dxa"/>
              <w:end w:w="140" w:type="dxa"/>
            </w:tcMar>
            <w:vAlign w:val="center"/>
            <w:shd w:fill="FFFFFF"/>
          </w:tcPr>
          <w:p>
            <w:pPr>
              <w:spacing w:after="0" w:line="240" w:lineRule="auto"/>
            </w:pPr>
            <w:r>
              <w:rPr>
                <w:sz w:val="18"/>
              </w:rPr>
              <w:t>STARTED</w:t>
            </w:r>
          </w:p>
        </w:tc>
        <w:tc>
          <w:tcPr>
            <w:tcW w:type="dxa" w:w="3917"/>
            <w:tcMar>
              <w:top w:w="120" w:type="dxa"/>
              <w:start w:w="140" w:type="dxa"/>
              <w:bottom w:w="120" w:type="dxa"/>
              <w:end w:w="140" w:type="dxa"/>
            </w:tcMar>
            <w:vAlign w:val="center"/>
            <w:shd w:fill="FFFFFF"/>
          </w:tcPr>
          <w:p>
            <w:pPr>
              <w:spacing w:after="0" w:line="240" w:lineRule="auto"/>
            </w:pPr>
            <w:r>
              <w:rPr>
                <w:sz w:val="18"/>
              </w:rPr>
              <w:t>Run row registered</w:t>
            </w:r>
          </w:p>
        </w:tc>
        <w:tc>
          <w:tcPr>
            <w:tcW w:type="dxa" w:w="1800"/>
            <w:tcMar>
              <w:top w:w="120" w:type="dxa"/>
              <w:start w:w="140" w:type="dxa"/>
              <w:bottom w:w="120" w:type="dxa"/>
              <w:end w:w="140" w:type="dxa"/>
            </w:tcMar>
            <w:vAlign w:val="center"/>
            <w:shd w:fill="FFFFFF"/>
          </w:tcPr>
          <w:p>
            <w:pPr>
              <w:spacing w:after="0" w:line="240" w:lineRule="auto"/>
            </w:pPr>
            <w:r>
              <w:rPr>
                <w:sz w:val="18"/>
              </w:rPr>
              <w:t>No</w:t>
            </w:r>
          </w:p>
        </w:tc>
        <w:tc>
          <w:tcPr>
            <w:tcW w:type="dxa" w:w="2390"/>
            <w:tcMar>
              <w:top w:w="120" w:type="dxa"/>
              <w:start w:w="140" w:type="dxa"/>
              <w:bottom w:w="120" w:type="dxa"/>
              <w:end w:w="140" w:type="dxa"/>
            </w:tcMar>
            <w:vAlign w:val="center"/>
            <w:shd w:fill="FFFFFF"/>
          </w:tcPr>
          <w:p>
            <w:pPr>
              <w:spacing w:after="0" w:line="240" w:lineRule="auto"/>
            </w:pPr>
            <w:r>
              <w:rPr>
                <w:sz w:val="18"/>
              </w:rPr>
              <w:t>Wait or investigate a stale run</w:t>
            </w:r>
          </w:p>
        </w:tc>
      </w:tr>
      <w:tr>
        <w:trPr>
          <w:cantSplit/>
        </w:trPr>
        <w:tc>
          <w:tcPr>
            <w:tcW w:type="dxa" w:w="1757"/>
            <w:tcMar>
              <w:top w:w="120" w:type="dxa"/>
              <w:start w:w="140" w:type="dxa"/>
              <w:bottom w:w="120" w:type="dxa"/>
              <w:end w:w="140" w:type="dxa"/>
            </w:tcMar>
            <w:vAlign w:val="center"/>
            <w:shd w:fill="EAF2F8"/>
          </w:tcPr>
          <w:p>
            <w:pPr>
              <w:spacing w:after="0" w:line="240" w:lineRule="auto"/>
            </w:pPr>
            <w:r>
              <w:rPr>
                <w:sz w:val="18"/>
              </w:rPr>
              <w:t>EXTRACTED</w:t>
            </w:r>
          </w:p>
        </w:tc>
        <w:tc>
          <w:tcPr>
            <w:tcW w:type="dxa" w:w="3917"/>
            <w:tcMar>
              <w:top w:w="120" w:type="dxa"/>
              <w:start w:w="140" w:type="dxa"/>
              <w:bottom w:w="120" w:type="dxa"/>
              <w:end w:w="140" w:type="dxa"/>
            </w:tcMar>
            <w:vAlign w:val="center"/>
            <w:shd w:fill="EAF2F8"/>
          </w:tcPr>
          <w:p>
            <w:pPr>
              <w:spacing w:after="0" w:line="240" w:lineRule="auto"/>
            </w:pPr>
            <w:r>
              <w:rPr>
                <w:sz w:val="18"/>
              </w:rPr>
              <w:t>GitHub data archived and extraction counts recorded</w:t>
            </w:r>
          </w:p>
        </w:tc>
        <w:tc>
          <w:tcPr>
            <w:tcW w:type="dxa" w:w="1800"/>
            <w:tcMar>
              <w:top w:w="120" w:type="dxa"/>
              <w:start w:w="140" w:type="dxa"/>
              <w:bottom w:w="120" w:type="dxa"/>
              <w:end w:w="140" w:type="dxa"/>
            </w:tcMar>
            <w:vAlign w:val="center"/>
            <w:shd w:fill="EAF2F8"/>
          </w:tcPr>
          <w:p>
            <w:pPr>
              <w:spacing w:after="0" w:line="240" w:lineRule="auto"/>
            </w:pPr>
            <w:r>
              <w:rPr>
                <w:sz w:val="18"/>
              </w:rPr>
              <w:t>No</w:t>
            </w:r>
          </w:p>
        </w:tc>
        <w:tc>
          <w:tcPr>
            <w:tcW w:type="dxa" w:w="2390"/>
            <w:tcMar>
              <w:top w:w="120" w:type="dxa"/>
              <w:start w:w="140" w:type="dxa"/>
              <w:bottom w:w="120" w:type="dxa"/>
              <w:end w:w="140" w:type="dxa"/>
            </w:tcMar>
            <w:vAlign w:val="center"/>
            <w:shd w:fill="EAF2F8"/>
          </w:tcPr>
          <w:p>
            <w:pPr>
              <w:spacing w:after="0" w:line="240" w:lineRule="auto"/>
            </w:pPr>
            <w:r>
              <w:rPr>
                <w:sz w:val="18"/>
              </w:rPr>
              <w:t>Continue load or retry safely</w:t>
            </w:r>
          </w:p>
        </w:tc>
      </w:tr>
      <w:tr>
        <w:trPr>
          <w:cantSplit/>
        </w:trPr>
        <w:tc>
          <w:tcPr>
            <w:tcW w:type="dxa" w:w="1757"/>
            <w:tcMar>
              <w:top w:w="120" w:type="dxa"/>
              <w:start w:w="140" w:type="dxa"/>
              <w:bottom w:w="120" w:type="dxa"/>
              <w:end w:w="140" w:type="dxa"/>
            </w:tcMar>
            <w:vAlign w:val="center"/>
            <w:shd w:fill="FFFFFF"/>
          </w:tcPr>
          <w:p>
            <w:pPr>
              <w:spacing w:after="0" w:line="240" w:lineRule="auto"/>
            </w:pPr>
            <w:r>
              <w:rPr>
                <w:sz w:val="18"/>
              </w:rPr>
              <w:t>LOADED</w:t>
            </w:r>
          </w:p>
        </w:tc>
        <w:tc>
          <w:tcPr>
            <w:tcW w:type="dxa" w:w="3917"/>
            <w:tcMar>
              <w:top w:w="120" w:type="dxa"/>
              <w:start w:w="140" w:type="dxa"/>
              <w:bottom w:w="120" w:type="dxa"/>
              <w:end w:w="140" w:type="dxa"/>
            </w:tcMar>
            <w:vAlign w:val="center"/>
            <w:shd w:fill="FFFFFF"/>
          </w:tcPr>
          <w:p>
            <w:pPr>
              <w:spacing w:after="0" w:line="240" w:lineRule="auto"/>
            </w:pPr>
            <w:r>
              <w:rPr>
                <w:sz w:val="18"/>
              </w:rPr>
              <w:t>BigQuery append completed</w:t>
            </w:r>
          </w:p>
        </w:tc>
        <w:tc>
          <w:tcPr>
            <w:tcW w:type="dxa" w:w="1800"/>
            <w:tcMar>
              <w:top w:w="120" w:type="dxa"/>
              <w:start w:w="140" w:type="dxa"/>
              <w:bottom w:w="120" w:type="dxa"/>
              <w:end w:w="140" w:type="dxa"/>
            </w:tcMar>
            <w:vAlign w:val="center"/>
            <w:shd w:fill="FFFFFF"/>
          </w:tcPr>
          <w:p>
            <w:pPr>
              <w:spacing w:after="0" w:line="240" w:lineRule="auto"/>
            </w:pPr>
            <w:r>
              <w:rPr>
                <w:sz w:val="18"/>
              </w:rPr>
              <w:t>No</w:t>
            </w:r>
          </w:p>
        </w:tc>
        <w:tc>
          <w:tcPr>
            <w:tcW w:type="dxa" w:w="2390"/>
            <w:tcMar>
              <w:top w:w="120" w:type="dxa"/>
              <w:start w:w="140" w:type="dxa"/>
              <w:bottom w:w="120" w:type="dxa"/>
              <w:end w:w="140" w:type="dxa"/>
            </w:tcMar>
            <w:vAlign w:val="center"/>
            <w:shd w:fill="FFFFFF"/>
          </w:tcPr>
          <w:p>
            <w:pPr>
              <w:spacing w:after="0" w:line="240" w:lineRule="auto"/>
            </w:pPr>
            <w:r>
              <w:rPr>
                <w:sz w:val="18"/>
              </w:rPr>
              <w:t>Validation should follow</w:t>
            </w:r>
          </w:p>
        </w:tc>
      </w:tr>
      <w:tr>
        <w:trPr>
          <w:cantSplit/>
        </w:trPr>
        <w:tc>
          <w:tcPr>
            <w:tcW w:type="dxa" w:w="1757"/>
            <w:tcMar>
              <w:top w:w="120" w:type="dxa"/>
              <w:start w:w="140" w:type="dxa"/>
              <w:bottom w:w="120" w:type="dxa"/>
              <w:end w:w="140" w:type="dxa"/>
            </w:tcMar>
            <w:vAlign w:val="center"/>
            <w:shd w:fill="EAF2F8"/>
          </w:tcPr>
          <w:p>
            <w:pPr>
              <w:spacing w:after="0" w:line="240" w:lineRule="auto"/>
            </w:pPr>
            <w:r>
              <w:rPr>
                <w:sz w:val="18"/>
              </w:rPr>
              <w:t>COMPLETE</w:t>
            </w:r>
          </w:p>
        </w:tc>
        <w:tc>
          <w:tcPr>
            <w:tcW w:type="dxa" w:w="3917"/>
            <w:tcMar>
              <w:top w:w="120" w:type="dxa"/>
              <w:start w:w="140" w:type="dxa"/>
              <w:bottom w:w="120" w:type="dxa"/>
              <w:end w:w="140" w:type="dxa"/>
            </w:tcMar>
            <w:vAlign w:val="center"/>
            <w:shd w:fill="EAF2F8"/>
          </w:tcPr>
          <w:p>
            <w:pPr>
              <w:spacing w:after="0" w:line="240" w:lineRule="auto"/>
            </w:pPr>
            <w:r>
              <w:rPr>
                <w:sz w:val="18"/>
              </w:rPr>
              <w:t>All validation checks passed</w:t>
            </w:r>
          </w:p>
        </w:tc>
        <w:tc>
          <w:tcPr>
            <w:tcW w:type="dxa" w:w="1800"/>
            <w:tcMar>
              <w:top w:w="120" w:type="dxa"/>
              <w:start w:w="140" w:type="dxa"/>
              <w:bottom w:w="120" w:type="dxa"/>
              <w:end w:w="140" w:type="dxa"/>
            </w:tcMar>
            <w:vAlign w:val="center"/>
            <w:shd w:fill="EAF2F8"/>
          </w:tcPr>
          <w:p>
            <w:pPr>
              <w:spacing w:after="0" w:line="240" w:lineRule="auto"/>
            </w:pPr>
            <w:r>
              <w:rPr>
                <w:sz w:val="18"/>
              </w:rPr>
              <w:t>Yes</w:t>
            </w:r>
          </w:p>
        </w:tc>
        <w:tc>
          <w:tcPr>
            <w:tcW w:type="dxa" w:w="2390"/>
            <w:tcMar>
              <w:top w:w="120" w:type="dxa"/>
              <w:start w:w="140" w:type="dxa"/>
              <w:bottom w:w="120" w:type="dxa"/>
              <w:end w:w="140" w:type="dxa"/>
            </w:tcMar>
            <w:vAlign w:val="center"/>
            <w:shd w:fill="EAF2F8"/>
          </w:tcPr>
          <w:p>
            <w:pPr>
              <w:spacing w:after="0" w:line="240" w:lineRule="auto"/>
            </w:pPr>
            <w:r>
              <w:rPr>
                <w:sz w:val="18"/>
              </w:rPr>
              <w:t>No action</w:t>
            </w:r>
          </w:p>
        </w:tc>
      </w:tr>
      <w:tr>
        <w:trPr>
          <w:cantSplit/>
        </w:trPr>
        <w:tc>
          <w:tcPr>
            <w:tcW w:type="dxa" w:w="1757"/>
            <w:tcMar>
              <w:top w:w="120" w:type="dxa"/>
              <w:start w:w="140" w:type="dxa"/>
              <w:bottom w:w="120" w:type="dxa"/>
              <w:end w:w="140" w:type="dxa"/>
            </w:tcMar>
            <w:vAlign w:val="center"/>
            <w:shd w:fill="FFFFFF"/>
          </w:tcPr>
          <w:p>
            <w:pPr>
              <w:spacing w:after="0" w:line="240" w:lineRule="auto"/>
            </w:pPr>
            <w:r>
              <w:rPr>
                <w:sz w:val="18"/>
              </w:rPr>
              <w:t>REVIEW_REQUIRED</w:t>
            </w:r>
          </w:p>
        </w:tc>
        <w:tc>
          <w:tcPr>
            <w:tcW w:type="dxa" w:w="3917"/>
            <w:tcMar>
              <w:top w:w="120" w:type="dxa"/>
              <w:start w:w="140" w:type="dxa"/>
              <w:bottom w:w="120" w:type="dxa"/>
              <w:end w:w="140" w:type="dxa"/>
            </w:tcMar>
            <w:vAlign w:val="center"/>
            <w:shd w:fill="FFFFFF"/>
          </w:tcPr>
          <w:p>
            <w:pPr>
              <w:spacing w:after="0" w:line="240" w:lineRule="auto"/>
            </w:pPr>
            <w:r>
              <w:rPr>
                <w:sz w:val="18"/>
              </w:rPr>
              <w:t>Load succeeded but a safety threshold fired</w:t>
            </w:r>
          </w:p>
        </w:tc>
        <w:tc>
          <w:tcPr>
            <w:tcW w:type="dxa" w:w="1800"/>
            <w:tcMar>
              <w:top w:w="120" w:type="dxa"/>
              <w:start w:w="140" w:type="dxa"/>
              <w:bottom w:w="120" w:type="dxa"/>
              <w:end w:w="140" w:type="dxa"/>
            </w:tcMar>
            <w:vAlign w:val="center"/>
            <w:shd w:fill="FFFFFF"/>
          </w:tcPr>
          <w:p>
            <w:pPr>
              <w:spacing w:after="0" w:line="240" w:lineRule="auto"/>
            </w:pPr>
            <w:r>
              <w:rPr>
                <w:sz w:val="18"/>
              </w:rPr>
              <w:t>No</w:t>
            </w:r>
          </w:p>
        </w:tc>
        <w:tc>
          <w:tcPr>
            <w:tcW w:type="dxa" w:w="2390"/>
            <w:tcMar>
              <w:top w:w="120" w:type="dxa"/>
              <w:start w:w="140" w:type="dxa"/>
              <w:bottom w:w="120" w:type="dxa"/>
              <w:end w:w="140" w:type="dxa"/>
            </w:tcMar>
            <w:vAlign w:val="center"/>
            <w:shd w:fill="FFFFFF"/>
          </w:tcPr>
          <w:p>
            <w:pPr>
              <w:spacing w:after="0" w:line="240" w:lineRule="auto"/>
            </w:pPr>
            <w:r>
              <w:rPr>
                <w:sz w:val="18"/>
              </w:rPr>
              <w:t>Review evidence before controlled approval or rerun</w:t>
            </w:r>
          </w:p>
        </w:tc>
      </w:tr>
      <w:tr>
        <w:trPr>
          <w:cantSplit/>
        </w:trPr>
        <w:tc>
          <w:tcPr>
            <w:tcW w:type="dxa" w:w="1757"/>
            <w:tcMar>
              <w:top w:w="120" w:type="dxa"/>
              <w:start w:w="140" w:type="dxa"/>
              <w:bottom w:w="120" w:type="dxa"/>
              <w:end w:w="140" w:type="dxa"/>
            </w:tcMar>
            <w:vAlign w:val="center"/>
            <w:shd w:fill="EAF2F8"/>
          </w:tcPr>
          <w:p>
            <w:pPr>
              <w:spacing w:after="0" w:line="240" w:lineRule="auto"/>
            </w:pPr>
            <w:r>
              <w:rPr>
                <w:sz w:val="18"/>
              </w:rPr>
              <w:t>REJECTED</w:t>
            </w:r>
          </w:p>
        </w:tc>
        <w:tc>
          <w:tcPr>
            <w:tcW w:type="dxa" w:w="3917"/>
            <w:tcMar>
              <w:top w:w="120" w:type="dxa"/>
              <w:start w:w="140" w:type="dxa"/>
              <w:bottom w:w="120" w:type="dxa"/>
              <w:end w:w="140" w:type="dxa"/>
            </w:tcMar>
            <w:vAlign w:val="center"/>
            <w:shd w:fill="EAF2F8"/>
          </w:tcPr>
          <w:p>
            <w:pPr>
              <w:spacing w:after="0" w:line="240" w:lineRule="auto"/>
            </w:pPr>
            <w:r>
              <w:rPr>
                <w:sz w:val="18"/>
              </w:rPr>
              <w:t>The snapshot is empty, incomplete, or count-invalid</w:t>
            </w:r>
          </w:p>
        </w:tc>
        <w:tc>
          <w:tcPr>
            <w:tcW w:type="dxa" w:w="1800"/>
            <w:tcMar>
              <w:top w:w="120" w:type="dxa"/>
              <w:start w:w="140" w:type="dxa"/>
              <w:bottom w:w="120" w:type="dxa"/>
              <w:end w:w="140" w:type="dxa"/>
            </w:tcMar>
            <w:vAlign w:val="center"/>
            <w:shd w:fill="EAF2F8"/>
          </w:tcPr>
          <w:p>
            <w:pPr>
              <w:spacing w:after="0" w:line="240" w:lineRule="auto"/>
            </w:pPr>
            <w:r>
              <w:rPr>
                <w:sz w:val="18"/>
              </w:rPr>
              <w:t>No</w:t>
            </w:r>
          </w:p>
        </w:tc>
        <w:tc>
          <w:tcPr>
            <w:tcW w:type="dxa" w:w="2390"/>
            <w:tcMar>
              <w:top w:w="120" w:type="dxa"/>
              <w:start w:w="140" w:type="dxa"/>
              <w:bottom w:w="120" w:type="dxa"/>
              <w:end w:w="140" w:type="dxa"/>
            </w:tcMar>
            <w:vAlign w:val="center"/>
            <w:shd w:fill="EAF2F8"/>
          </w:tcPr>
          <w:p>
            <w:pPr>
              <w:spacing w:after="0" w:line="240" w:lineRule="auto"/>
            </w:pPr>
            <w:r>
              <w:rPr>
                <w:sz w:val="18"/>
              </w:rPr>
              <w:t>Correct the source or configuration and start a new execution</w:t>
            </w:r>
          </w:p>
        </w:tc>
      </w:tr>
      <w:tr>
        <w:trPr>
          <w:cantSplit/>
        </w:trPr>
        <w:tc>
          <w:tcPr>
            <w:tcW w:type="dxa" w:w="1757"/>
            <w:tcMar>
              <w:top w:w="120" w:type="dxa"/>
              <w:start w:w="140" w:type="dxa"/>
              <w:bottom w:w="120" w:type="dxa"/>
              <w:end w:w="140" w:type="dxa"/>
            </w:tcMar>
            <w:vAlign w:val="center"/>
            <w:shd w:fill="FFFFFF"/>
          </w:tcPr>
          <w:p>
            <w:pPr>
              <w:spacing w:after="0" w:line="240" w:lineRule="auto"/>
            </w:pPr>
            <w:r>
              <w:rPr>
                <w:sz w:val="18"/>
              </w:rPr>
              <w:t>FAILED</w:t>
            </w:r>
          </w:p>
        </w:tc>
        <w:tc>
          <w:tcPr>
            <w:tcW w:type="dxa" w:w="3917"/>
            <w:tcMar>
              <w:top w:w="120" w:type="dxa"/>
              <w:start w:w="140" w:type="dxa"/>
              <w:bottom w:w="120" w:type="dxa"/>
              <w:end w:w="140" w:type="dxa"/>
            </w:tcMar>
            <w:vAlign w:val="center"/>
            <w:shd w:fill="FFFFFF"/>
          </w:tcPr>
          <w:p>
            <w:pPr>
              <w:spacing w:after="0" w:line="240" w:lineRule="auto"/>
            </w:pPr>
            <w:r>
              <w:rPr>
                <w:sz w:val="18"/>
              </w:rPr>
              <w:t>A technical stage failed</w:t>
            </w:r>
          </w:p>
        </w:tc>
        <w:tc>
          <w:tcPr>
            <w:tcW w:type="dxa" w:w="1800"/>
            <w:tcMar>
              <w:top w:w="120" w:type="dxa"/>
              <w:start w:w="140" w:type="dxa"/>
              <w:bottom w:w="120" w:type="dxa"/>
              <w:end w:w="140" w:type="dxa"/>
            </w:tcMar>
            <w:vAlign w:val="center"/>
            <w:shd w:fill="FFFFFF"/>
          </w:tcPr>
          <w:p>
            <w:pPr>
              <w:spacing w:after="0" w:line="240" w:lineRule="auto"/>
            </w:pPr>
            <w:r>
              <w:rPr>
                <w:sz w:val="18"/>
              </w:rPr>
              <w:t>No</w:t>
            </w:r>
          </w:p>
        </w:tc>
        <w:tc>
          <w:tcPr>
            <w:tcW w:type="dxa" w:w="2390"/>
            <w:tcMar>
              <w:top w:w="120" w:type="dxa"/>
              <w:start w:w="140" w:type="dxa"/>
              <w:bottom w:w="120" w:type="dxa"/>
              <w:end w:w="140" w:type="dxa"/>
            </w:tcMar>
            <w:vAlign w:val="center"/>
            <w:shd w:fill="FFFFFF"/>
          </w:tcPr>
          <w:p>
            <w:pPr>
              <w:spacing w:after="0" w:line="240" w:lineRule="auto"/>
            </w:pPr>
            <w:r>
              <w:rPr>
                <w:sz w:val="18"/>
              </w:rPr>
              <w:t>Fix the failure and retry or start a new execution</w:t>
            </w:r>
          </w:p>
        </w:tc>
      </w:tr>
    </w:tbl>
    <w:p>
      <w:pPr>
        <w:spacing w:after="20"/>
      </w:pPr>
    </w:p>
    <w:p>
      <w:pPr>
        <w:pStyle w:val="Heading2"/>
        <w:keepNext/>
      </w:pPr>
      <w:r>
        <w:t>Validation and retry controls</w:t>
      </w:r>
    </w:p>
    <w:p>
      <w:pPr>
        <w:pStyle w:val="ListBullet"/>
      </w:pPr>
      <w:r>
        <w:t>An empty API response is rejected and never promoted.</w:t>
      </w:r>
    </w:p>
    <w:p>
      <w:pPr>
        <w:pStyle w:val="ListBullet"/>
      </w:pPr>
      <w:r>
        <w:t>A loaded-row count different from the paginated API record count is rejected.</w:t>
      </w:r>
    </w:p>
    <w:p>
      <w:pPr>
        <w:pStyle w:val="ListBullet"/>
      </w:pPr>
      <w:r>
        <w:t>Duplicate identity keys, unresolved identities, an API total mismatch, or a user-count change above the configured threshold hold the run in REVIEW_REQUIRED.</w:t>
      </w:r>
    </w:p>
    <w:p>
      <w:pPr>
        <w:pStyle w:val="ListBullet"/>
      </w:pPr>
      <w:r>
        <w:t>The default count-change review threshold is 20 percent and should be calibrated after several valid snapshots.</w:t>
      </w:r>
    </w:p>
    <w:p>
      <w:pPr>
        <w:pStyle w:val="ListBullet"/>
      </w:pPr>
      <w:r>
        <w:t>The Cloud Run execution name becomes snapshot_run_id. GCS objects are immutable and the BigQuery load uses a deterministic job ID, so retrying the same execution cannot append a duplicate snapshot.</w:t>
      </w:r>
    </w:p>
    <w:p>
      <w:pPr>
        <w:pStyle w:val="ListBullet"/>
      </w:pPr>
      <w:r>
        <w:t>The current view uses the run table as a commit marker and therefore does not expose partially loaded data.</w:t>
      </w:r>
    </w:p>
    <w:p>
      <w:pPr>
        <w:pStyle w:val="Heading1"/>
        <w:keepNext/>
      </w:pPr>
      <w:r>
        <w:t>Activity and dormancy calculation</w:t>
      </w:r>
    </w:p>
    <w:p>
      <w:r>
        <w:t>Audit-log streaming replaces the legacy script's per-user audit API and GraphQL contribution calls. The normalized table retains audit and Git events beyond the ordinary API's short Git-event window. At enterprise volume, Grafana must not aggregate hundreds of millions of normalized rows for each refresh, so activity is summarized before it is joined to the license inventory.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51"/>
        <w:gridCol w:w="3351"/>
        <w:gridCol w:w="3351"/>
      </w:tblGrid>
      <w:tr>
        <w:trPr>
          <w:tblHeader w:val="true"/>
          <w:cantSplit/>
        </w:trPr>
        <w:tc>
          <w:tcPr>
            <w:tcW w:type="dxa" w:w="2131"/>
            <w:tcMar>
              <w:top w:w="120" w:type="dxa"/>
              <w:start w:w="140" w:type="dxa"/>
              <w:bottom w:w="120" w:type="dxa"/>
              <w:end w:w="140" w:type="dxa"/>
            </w:tcMar>
            <w:vAlign w:val="center"/>
            <w:shd w:fill="18364B"/>
          </w:tcPr>
          <w:p>
            <w:pPr>
              <w:jc w:val="left"/>
            </w:pPr>
            <w:r>
              <w:rPr>
                <w:b/>
                <w:color w:val="FFFFFF"/>
                <w:sz w:val="19"/>
              </w:rPr>
              <w:t>Signal</w:t>
            </w:r>
          </w:p>
        </w:tc>
        <w:tc>
          <w:tcPr>
            <w:tcW w:type="dxa" w:w="4680"/>
            <w:tcMar>
              <w:top w:w="120" w:type="dxa"/>
              <w:start w:w="140" w:type="dxa"/>
              <w:bottom w:w="120" w:type="dxa"/>
              <w:end w:w="140" w:type="dxa"/>
            </w:tcMar>
            <w:vAlign w:val="center"/>
            <w:shd w:fill="18364B"/>
          </w:tcPr>
          <w:p>
            <w:pPr>
              <w:jc w:val="left"/>
            </w:pPr>
            <w:r>
              <w:rPr>
                <w:b/>
                <w:color w:val="FFFFFF"/>
                <w:sz w:val="19"/>
              </w:rPr>
              <w:t>Definition</w:t>
            </w:r>
          </w:p>
        </w:tc>
        <w:tc>
          <w:tcPr>
            <w:tcW w:type="dxa" w:w="3053"/>
            <w:tcMar>
              <w:top w:w="120" w:type="dxa"/>
              <w:start w:w="140" w:type="dxa"/>
              <w:bottom w:w="120" w:type="dxa"/>
              <w:end w:w="140" w:type="dxa"/>
            </w:tcMar>
            <w:vAlign w:val="center"/>
            <w:shd w:fill="18364B"/>
          </w:tcPr>
          <w:p>
            <w:pPr>
              <w:jc w:val="left"/>
            </w:pPr>
            <w:r>
              <w:rPr>
                <w:b/>
                <w:color w:val="FFFFFF"/>
                <w:sz w:val="19"/>
              </w:rPr>
              <w:t>Use</w:t>
            </w:r>
          </w:p>
        </w:tc>
      </w:tr>
      <w:tr>
        <w:trPr>
          <w:cantSplit/>
        </w:trPr>
        <w:tc>
          <w:tcPr>
            <w:tcW w:type="dxa" w:w="2131"/>
            <w:tcMar>
              <w:top w:w="120" w:type="dxa"/>
              <w:start w:w="140" w:type="dxa"/>
              <w:bottom w:w="120" w:type="dxa"/>
              <w:end w:w="140" w:type="dxa"/>
            </w:tcMar>
            <w:vAlign w:val="center"/>
            <w:shd w:fill="FFFFFF"/>
          </w:tcPr>
          <w:p>
            <w:pPr>
              <w:spacing w:after="0" w:line="240" w:lineRule="auto"/>
            </w:pPr>
            <w:r>
              <w:rPr>
                <w:sz w:val="18"/>
              </w:rPr>
              <w:t>latest_activity</w:t>
            </w:r>
          </w:p>
        </w:tc>
        <w:tc>
          <w:tcPr>
            <w:tcW w:type="dxa" w:w="4680"/>
            <w:tcMar>
              <w:top w:w="120" w:type="dxa"/>
              <w:start w:w="140" w:type="dxa"/>
              <w:bottom w:w="120" w:type="dxa"/>
              <w:end w:w="140" w:type="dxa"/>
            </w:tcMar>
            <w:vAlign w:val="center"/>
            <w:shd w:fill="FFFFFF"/>
          </w:tcPr>
          <w:p>
            <w:pPr>
              <w:spacing w:after="0" w:line="240" w:lineRule="auto"/>
            </w:pPr>
            <w:r>
              <w:rPr>
                <w:sz w:val="18"/>
              </w:rPr>
              <w:t>Maximum event_time for the actor where action is not business.sso_response</w:t>
            </w:r>
          </w:p>
        </w:tc>
        <w:tc>
          <w:tcPr>
            <w:tcW w:type="dxa" w:w="3053"/>
            <w:tcMar>
              <w:top w:w="120" w:type="dxa"/>
              <w:start w:w="140" w:type="dxa"/>
              <w:bottom w:w="120" w:type="dxa"/>
              <w:end w:w="140" w:type="dxa"/>
            </w:tcMar>
            <w:vAlign w:val="center"/>
            <w:shd w:fill="FFFFFF"/>
          </w:tcPr>
          <w:p>
            <w:pPr>
              <w:spacing w:after="0" w:line="240" w:lineRule="auto"/>
            </w:pPr>
            <w:r>
              <w:rPr>
                <w:sz w:val="18"/>
              </w:rPr>
              <w:t>Default activity-based policy and TDI parity</w:t>
            </w:r>
          </w:p>
        </w:tc>
      </w:tr>
      <w:tr>
        <w:trPr>
          <w:cantSplit/>
        </w:trPr>
        <w:tc>
          <w:tcPr>
            <w:tcW w:type="dxa" w:w="2131"/>
            <w:tcMar>
              <w:top w:w="120" w:type="dxa"/>
              <w:start w:w="140" w:type="dxa"/>
              <w:bottom w:w="120" w:type="dxa"/>
              <w:end w:w="140" w:type="dxa"/>
            </w:tcMar>
            <w:vAlign w:val="center"/>
            <w:shd w:fill="EAF2F8"/>
          </w:tcPr>
          <w:p>
            <w:pPr>
              <w:spacing w:after="0" w:line="240" w:lineRule="auto"/>
            </w:pPr>
            <w:r>
              <w:rPr>
                <w:sz w:val="18"/>
              </w:rPr>
              <w:t>latest_git_activity</w:t>
            </w:r>
          </w:p>
        </w:tc>
        <w:tc>
          <w:tcPr>
            <w:tcW w:type="dxa" w:w="4680"/>
            <w:tcMar>
              <w:top w:w="120" w:type="dxa"/>
              <w:start w:w="140" w:type="dxa"/>
              <w:bottom w:w="120" w:type="dxa"/>
              <w:end w:w="140" w:type="dxa"/>
            </w:tcMar>
            <w:vAlign w:val="center"/>
            <w:shd w:fill="EAF2F8"/>
          </w:tcPr>
          <w:p>
            <w:pPr>
              <w:spacing w:after="0" w:line="240" w:lineRule="auto"/>
            </w:pPr>
            <w:r>
              <w:rPr>
                <w:sz w:val="18"/>
              </w:rPr>
              <w:t>Maximum event_time where action starts with git.</w:t>
            </w:r>
          </w:p>
        </w:tc>
        <w:tc>
          <w:tcPr>
            <w:tcW w:type="dxa" w:w="3053"/>
            <w:tcMar>
              <w:top w:w="120" w:type="dxa"/>
              <w:start w:w="140" w:type="dxa"/>
              <w:bottom w:w="120" w:type="dxa"/>
              <w:end w:w="140" w:type="dxa"/>
            </w:tcMar>
            <w:vAlign w:val="center"/>
            <w:shd w:fill="EAF2F8"/>
          </w:tcPr>
          <w:p>
            <w:pPr>
              <w:spacing w:after="0" w:line="240" w:lineRule="auto"/>
            </w:pPr>
            <w:r>
              <w:rPr>
                <w:sz w:val="18"/>
              </w:rPr>
              <w:t>Visible diagnostic evidence for clone, fetch, and push activity</w:t>
            </w:r>
          </w:p>
        </w:tc>
      </w:tr>
      <w:tr>
        <w:trPr>
          <w:cantSplit/>
        </w:trPr>
        <w:tc>
          <w:tcPr>
            <w:tcW w:type="dxa" w:w="2131"/>
            <w:tcMar>
              <w:top w:w="120" w:type="dxa"/>
              <w:start w:w="140" w:type="dxa"/>
              <w:bottom w:w="120" w:type="dxa"/>
              <w:end w:w="140" w:type="dxa"/>
            </w:tcMar>
            <w:vAlign w:val="center"/>
            <w:shd w:fill="FFFFFF"/>
          </w:tcPr>
          <w:p>
            <w:pPr>
              <w:spacing w:after="0" w:line="240" w:lineRule="auto"/>
            </w:pPr>
            <w:r>
              <w:rPr>
                <w:sz w:val="18"/>
              </w:rPr>
              <w:t>latest_authentication</w:t>
            </w:r>
          </w:p>
        </w:tc>
        <w:tc>
          <w:tcPr>
            <w:tcW w:type="dxa" w:w="4680"/>
            <w:tcMar>
              <w:top w:w="120" w:type="dxa"/>
              <w:start w:w="140" w:type="dxa"/>
              <w:bottom w:w="120" w:type="dxa"/>
              <w:end w:w="140" w:type="dxa"/>
            </w:tcMar>
            <w:vAlign w:val="center"/>
            <w:shd w:fill="FFFFFF"/>
          </w:tcPr>
          <w:p>
            <w:pPr>
              <w:spacing w:after="0" w:line="240" w:lineRule="auto"/>
            </w:pPr>
            <w:r>
              <w:rPr>
                <w:sz w:val="18"/>
              </w:rPr>
              <w:t>Maximum event_time where action equals business.sso_response</w:t>
            </w:r>
          </w:p>
        </w:tc>
        <w:tc>
          <w:tcPr>
            <w:tcW w:type="dxa" w:w="3053"/>
            <w:tcMar>
              <w:top w:w="120" w:type="dxa"/>
              <w:start w:w="140" w:type="dxa"/>
              <w:bottom w:w="120" w:type="dxa"/>
              <w:end w:w="140" w:type="dxa"/>
            </w:tcMar>
            <w:vAlign w:val="center"/>
            <w:shd w:fill="FFFFFF"/>
          </w:tcPr>
          <w:p>
            <w:pPr>
              <w:spacing w:after="0" w:line="240" w:lineRule="auto"/>
            </w:pPr>
            <w:r>
              <w:rPr>
                <w:sz w:val="18"/>
              </w:rPr>
              <w:t>Authentication-based policy for the applicable non-TDI flow</w:t>
            </w:r>
          </w:p>
        </w:tc>
      </w:tr>
      <w:tr>
        <w:trPr>
          <w:cantSplit/>
        </w:trPr>
        <w:tc>
          <w:tcPr>
            <w:tcW w:type="dxa" w:w="2131"/>
            <w:tcMar>
              <w:top w:w="120" w:type="dxa"/>
              <w:start w:w="140" w:type="dxa"/>
              <w:bottom w:w="120" w:type="dxa"/>
              <w:end w:w="140" w:type="dxa"/>
            </w:tcMar>
            <w:vAlign w:val="center"/>
            <w:shd w:fill="EAF2F8"/>
          </w:tcPr>
          <w:p>
            <w:pPr>
              <w:spacing w:after="0" w:line="240" w:lineRule="auto"/>
            </w:pPr>
            <w:r>
              <w:rPr>
                <w:sz w:val="18"/>
              </w:rPr>
              <w:t>activity counts</w:t>
            </w:r>
          </w:p>
        </w:tc>
        <w:tc>
          <w:tcPr>
            <w:tcW w:type="dxa" w:w="4680"/>
            <w:tcMar>
              <w:top w:w="120" w:type="dxa"/>
              <w:start w:w="140" w:type="dxa"/>
              <w:bottom w:w="120" w:type="dxa"/>
              <w:end w:w="140" w:type="dxa"/>
            </w:tcMar>
            <w:vAlign w:val="center"/>
            <w:shd w:fill="EAF2F8"/>
          </w:tcPr>
          <w:p>
            <w:pPr>
              <w:spacing w:after="0" w:line="240" w:lineRule="auto"/>
            </w:pPr>
            <w:r>
              <w:rPr>
                <w:sz w:val="18"/>
              </w:rPr>
              <w:t>Event and Git-event counts in the reporting window</w:t>
            </w:r>
          </w:p>
        </w:tc>
        <w:tc>
          <w:tcPr>
            <w:tcW w:type="dxa" w:w="3053"/>
            <w:tcMar>
              <w:top w:w="120" w:type="dxa"/>
              <w:start w:w="140" w:type="dxa"/>
              <w:bottom w:w="120" w:type="dxa"/>
              <w:end w:w="140" w:type="dxa"/>
            </w:tcMar>
            <w:vAlign w:val="center"/>
            <w:shd w:fill="EAF2F8"/>
          </w:tcPr>
          <w:p>
            <w:pPr>
              <w:spacing w:after="0" w:line="240" w:lineRule="auto"/>
            </w:pPr>
            <w:r>
              <w:rPr>
                <w:sz w:val="18"/>
              </w:rPr>
              <w:t>Usage intensity, anomaly checks, and review context</w:t>
            </w:r>
          </w:p>
        </w:tc>
      </w:tr>
    </w:tbl>
    <w:p>
      <w:pPr>
        <w:spacing w:after="20"/>
      </w:pPr>
    </w:p>
    <w:p>
      <w:pPr>
        <w:pStyle w:val="Heading2"/>
        <w:keepNext/>
      </w:pPr>
      <w:r>
        <w:t>Dormancy policy</w:t>
      </w:r>
    </w:p>
    <w:p>
      <w:pPr>
        <w:spacing w:before="80" w:after="160"/>
        <w:ind w:left="360" w:right="360"/>
        <w:shd w:fill="F4F5F7"/>
      </w:pPr>
      <w:r>
        <w:rPr>
          <w:rFonts w:ascii="Liberation Mono" w:hAnsi="Liberation Mono"/>
          <w:sz w:val="18"/>
        </w:rPr>
        <w:t>TDI flow       effective_signal = latest_activity</w:t>
      </w:r>
      <w:r>
        <w:br/>
      </w:r>
      <w:r>
        <w:rPr>
          <w:rFonts w:ascii="Liberation Mono" w:hAnsi="Liberation Mono"/>
          <w:sz w:val="18"/>
        </w:rPr>
        <w:t>Non-TDI flow   effective_signal = latest_authentication</w:t>
      </w:r>
      <w:r>
        <w:br/>
      </w:r>
      <w:r>
        <w:rPr>
          <w:rFonts w:ascii="Liberation Mono" w:hAnsi="Liberation Mono"/>
          <w:sz w:val="18"/>
        </w:rPr>
      </w:r>
      <w:r>
        <w:br/>
      </w:r>
      <w:r>
        <w:rPr>
          <w:rFonts w:ascii="Liberation Mono" w:hAnsi="Liberation Mono"/>
          <w:sz w:val="18"/>
        </w:rPr>
        <w:t>candidate = currently_licensed</w:t>
      </w:r>
      <w:r>
        <w:br/>
      </w:r>
      <w:r>
        <w:rPr>
          <w:rFonts w:ascii="Liberation Mono" w:hAnsi="Liberation Mono"/>
          <w:sz w:val="18"/>
        </w:rPr>
        <w:t xml:space="preserve">            AND account_type = HUMAN</w:t>
      </w:r>
      <w:r>
        <w:br/>
      </w:r>
      <w:r>
        <w:rPr>
          <w:rFonts w:ascii="Liberation Mono" w:hAnsi="Liberation Mono"/>
          <w:sz w:val="18"/>
        </w:rPr>
        <w:t xml:space="preserve">            AND staff_matched = TRUE</w:t>
      </w:r>
      <w:r>
        <w:br/>
      </w:r>
      <w:r>
        <w:rPr>
          <w:rFonts w:ascii="Liberation Mono" w:hAnsi="Liberation Mono"/>
          <w:sz w:val="18"/>
        </w:rPr>
        <w:t xml:space="preserve">            AND scim_eligible_for_action = TRUE</w:t>
      </w:r>
      <w:r>
        <w:br/>
      </w:r>
      <w:r>
        <w:rPr>
          <w:rFonts w:ascii="Liberation Mono" w:hAnsi="Liberation Mono"/>
          <w:sz w:val="18"/>
        </w:rPr>
        <w:t xml:space="preserve">            AND effective_signal is older than the policy window</w:t>
      </w:r>
      <w:r>
        <w:br/>
      </w:r>
      <w:r>
        <w:rPr>
          <w:rFonts w:ascii="Liberation Mono" w:hAnsi="Liberation Mono"/>
          <w:sz w:val="18"/>
        </w:rPr>
        <w:t xml:space="preserve">            AND no data or directory lookup error exists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51"/>
        <w:gridCol w:w="3351"/>
        <w:gridCol w:w="3351"/>
      </w:tblGrid>
      <w:tr>
        <w:trPr>
          <w:tblHeader w:val="true"/>
          <w:cantSplit/>
        </w:trPr>
        <w:tc>
          <w:tcPr>
            <w:tcW w:type="dxa" w:w="2333"/>
            <w:tcMar>
              <w:top w:w="120" w:type="dxa"/>
              <w:start w:w="140" w:type="dxa"/>
              <w:bottom w:w="120" w:type="dxa"/>
              <w:end w:w="140" w:type="dxa"/>
            </w:tcMar>
            <w:vAlign w:val="center"/>
            <w:shd w:fill="18364B"/>
          </w:tcPr>
          <w:p>
            <w:pPr>
              <w:jc w:val="left"/>
            </w:pPr>
            <w:r>
              <w:rPr>
                <w:b/>
                <w:color w:val="FFFFFF"/>
                <w:sz w:val="19"/>
              </w:rPr>
              <w:t>Band</w:t>
            </w:r>
          </w:p>
        </w:tc>
        <w:tc>
          <w:tcPr>
            <w:tcW w:type="dxa" w:w="3672"/>
            <w:tcMar>
              <w:top w:w="120" w:type="dxa"/>
              <w:start w:w="140" w:type="dxa"/>
              <w:bottom w:w="120" w:type="dxa"/>
              <w:end w:w="140" w:type="dxa"/>
            </w:tcMar>
            <w:vAlign w:val="center"/>
            <w:shd w:fill="18364B"/>
          </w:tcPr>
          <w:p>
            <w:pPr>
              <w:jc w:val="left"/>
            </w:pPr>
            <w:r>
              <w:rPr>
                <w:b/>
                <w:color w:val="FFFFFF"/>
                <w:sz w:val="19"/>
              </w:rPr>
              <w:t>Interpretation</w:t>
            </w:r>
          </w:p>
        </w:tc>
        <w:tc>
          <w:tcPr>
            <w:tcW w:type="dxa" w:w="3859"/>
            <w:tcMar>
              <w:top w:w="120" w:type="dxa"/>
              <w:start w:w="140" w:type="dxa"/>
              <w:bottom w:w="120" w:type="dxa"/>
              <w:end w:w="140" w:type="dxa"/>
            </w:tcMar>
            <w:vAlign w:val="center"/>
            <w:shd w:fill="18364B"/>
          </w:tcPr>
          <w:p>
            <w:pPr>
              <w:jc w:val="left"/>
            </w:pPr>
            <w:r>
              <w:rPr>
                <w:b/>
                <w:color w:val="FFFFFF"/>
                <w:sz w:val="19"/>
              </w:rPr>
              <w:t>Default treatment</w:t>
            </w:r>
          </w:p>
        </w:tc>
      </w:tr>
      <w:tr>
        <w:trPr>
          <w:cantSplit/>
        </w:trPr>
        <w:tc>
          <w:tcPr>
            <w:tcW w:type="dxa" w:w="2333"/>
            <w:tcMar>
              <w:top w:w="120" w:type="dxa"/>
              <w:start w:w="140" w:type="dxa"/>
              <w:bottom w:w="120" w:type="dxa"/>
              <w:end w:w="140" w:type="dxa"/>
            </w:tcMar>
            <w:vAlign w:val="center"/>
            <w:shd w:fill="FFFFFF"/>
          </w:tcPr>
          <w:p>
            <w:pPr>
              <w:spacing w:after="0" w:line="240" w:lineRule="auto"/>
            </w:pPr>
            <w:r>
              <w:rPr>
                <w:sz w:val="18"/>
              </w:rPr>
              <w:t>Active within 30 days</w:t>
            </w:r>
          </w:p>
        </w:tc>
        <w:tc>
          <w:tcPr>
            <w:tcW w:type="dxa" w:w="3672"/>
            <w:tcMar>
              <w:top w:w="120" w:type="dxa"/>
              <w:start w:w="140" w:type="dxa"/>
              <w:bottom w:w="120" w:type="dxa"/>
              <w:end w:w="140" w:type="dxa"/>
            </w:tcMar>
            <w:vAlign w:val="center"/>
            <w:shd w:fill="FFFFFF"/>
          </w:tcPr>
          <w:p>
            <w:pPr>
              <w:spacing w:after="0" w:line="240" w:lineRule="auto"/>
            </w:pPr>
            <w:r>
              <w:rPr>
                <w:sz w:val="18"/>
              </w:rPr>
              <w:t>Recent applicable signal</w:t>
            </w:r>
          </w:p>
        </w:tc>
        <w:tc>
          <w:tcPr>
            <w:tcW w:type="dxa" w:w="3859"/>
            <w:tcMar>
              <w:top w:w="120" w:type="dxa"/>
              <w:start w:w="140" w:type="dxa"/>
              <w:bottom w:w="120" w:type="dxa"/>
              <w:end w:w="140" w:type="dxa"/>
            </w:tcMar>
            <w:vAlign w:val="center"/>
            <w:shd w:fill="FFFFFF"/>
          </w:tcPr>
          <w:p>
            <w:pPr>
              <w:spacing w:after="0" w:line="240" w:lineRule="auto"/>
            </w:pPr>
            <w:r>
              <w:rPr>
                <w:sz w:val="18"/>
              </w:rPr>
              <w:t>No action</w:t>
            </w:r>
          </w:p>
        </w:tc>
      </w:tr>
      <w:tr>
        <w:trPr>
          <w:cantSplit/>
        </w:trPr>
        <w:tc>
          <w:tcPr>
            <w:tcW w:type="dxa" w:w="2333"/>
            <w:tcMar>
              <w:top w:w="120" w:type="dxa"/>
              <w:start w:w="140" w:type="dxa"/>
              <w:bottom w:w="120" w:type="dxa"/>
              <w:end w:w="140" w:type="dxa"/>
            </w:tcMar>
            <w:vAlign w:val="center"/>
            <w:shd w:fill="EAF2F8"/>
          </w:tcPr>
          <w:p>
            <w:pPr>
              <w:spacing w:after="0" w:line="240" w:lineRule="auto"/>
            </w:pPr>
            <w:r>
              <w:rPr>
                <w:sz w:val="18"/>
              </w:rPr>
              <w:t>Inactive 30 to 44 days</w:t>
            </w:r>
          </w:p>
        </w:tc>
        <w:tc>
          <w:tcPr>
            <w:tcW w:type="dxa" w:w="3672"/>
            <w:tcMar>
              <w:top w:w="120" w:type="dxa"/>
              <w:start w:w="140" w:type="dxa"/>
              <w:bottom w:w="120" w:type="dxa"/>
              <w:end w:w="140" w:type="dxa"/>
            </w:tcMar>
            <w:vAlign w:val="center"/>
            <w:shd w:fill="EAF2F8"/>
          </w:tcPr>
          <w:p>
            <w:pPr>
              <w:spacing w:after="0" w:line="240" w:lineRule="auto"/>
            </w:pPr>
            <w:r>
              <w:rPr>
                <w:sz w:val="18"/>
              </w:rPr>
              <w:t>Early inactivity</w:t>
            </w:r>
          </w:p>
        </w:tc>
        <w:tc>
          <w:tcPr>
            <w:tcW w:type="dxa" w:w="3859"/>
            <w:tcMar>
              <w:top w:w="120" w:type="dxa"/>
              <w:start w:w="140" w:type="dxa"/>
              <w:bottom w:w="120" w:type="dxa"/>
              <w:end w:w="140" w:type="dxa"/>
            </w:tcMar>
            <w:vAlign w:val="center"/>
            <w:shd w:fill="EAF2F8"/>
          </w:tcPr>
          <w:p>
            <w:pPr>
              <w:spacing w:after="0" w:line="240" w:lineRule="auto"/>
            </w:pPr>
            <w:r>
              <w:rPr>
                <w:sz w:val="18"/>
              </w:rPr>
              <w:t>Dashboard visibility</w:t>
            </w:r>
          </w:p>
        </w:tc>
      </w:tr>
      <w:tr>
        <w:trPr>
          <w:cantSplit/>
        </w:trPr>
        <w:tc>
          <w:tcPr>
            <w:tcW w:type="dxa" w:w="2333"/>
            <w:tcMar>
              <w:top w:w="120" w:type="dxa"/>
              <w:start w:w="140" w:type="dxa"/>
              <w:bottom w:w="120" w:type="dxa"/>
              <w:end w:w="140" w:type="dxa"/>
            </w:tcMar>
            <w:vAlign w:val="center"/>
            <w:shd w:fill="FFFFFF"/>
          </w:tcPr>
          <w:p>
            <w:pPr>
              <w:spacing w:after="0" w:line="240" w:lineRule="auto"/>
            </w:pPr>
            <w:r>
              <w:rPr>
                <w:sz w:val="18"/>
              </w:rPr>
              <w:t>Inactive 45 to 59 days</w:t>
            </w:r>
          </w:p>
        </w:tc>
        <w:tc>
          <w:tcPr>
            <w:tcW w:type="dxa" w:w="3672"/>
            <w:tcMar>
              <w:top w:w="120" w:type="dxa"/>
              <w:start w:w="140" w:type="dxa"/>
              <w:bottom w:w="120" w:type="dxa"/>
              <w:end w:w="140" w:type="dxa"/>
            </w:tcMar>
            <w:vAlign w:val="center"/>
            <w:shd w:fill="FFFFFF"/>
          </w:tcPr>
          <w:p>
            <w:pPr>
              <w:spacing w:after="0" w:line="240" w:lineRule="auto"/>
            </w:pPr>
            <w:r>
              <w:rPr>
                <w:sz w:val="18"/>
              </w:rPr>
              <w:t>Sustained inactivity</w:t>
            </w:r>
          </w:p>
        </w:tc>
        <w:tc>
          <w:tcPr>
            <w:tcW w:type="dxa" w:w="3859"/>
            <w:tcMar>
              <w:top w:w="120" w:type="dxa"/>
              <w:start w:w="140" w:type="dxa"/>
              <w:bottom w:w="120" w:type="dxa"/>
              <w:end w:w="140" w:type="dxa"/>
            </w:tcMar>
            <w:vAlign w:val="center"/>
            <w:shd w:fill="FFFFFF"/>
          </w:tcPr>
          <w:p>
            <w:pPr>
              <w:spacing w:after="0" w:line="240" w:lineRule="auto"/>
            </w:pPr>
            <w:r>
              <w:rPr>
                <w:sz w:val="18"/>
              </w:rPr>
              <w:t>Dashboard and manager analysis</w:t>
            </w:r>
          </w:p>
        </w:tc>
      </w:tr>
      <w:tr>
        <w:trPr>
          <w:cantSplit/>
        </w:trPr>
        <w:tc>
          <w:tcPr>
            <w:tcW w:type="dxa" w:w="2333"/>
            <w:tcMar>
              <w:top w:w="120" w:type="dxa"/>
              <w:start w:w="140" w:type="dxa"/>
              <w:bottom w:w="120" w:type="dxa"/>
              <w:end w:w="140" w:type="dxa"/>
            </w:tcMar>
            <w:vAlign w:val="center"/>
            <w:shd w:fill="EAF2F8"/>
          </w:tcPr>
          <w:p>
            <w:pPr>
              <w:spacing w:after="0" w:line="240" w:lineRule="auto"/>
            </w:pPr>
            <w:r>
              <w:rPr>
                <w:sz w:val="18"/>
              </w:rPr>
              <w:t>Inactive 60 to 89 days</w:t>
            </w:r>
          </w:p>
        </w:tc>
        <w:tc>
          <w:tcPr>
            <w:tcW w:type="dxa" w:w="3672"/>
            <w:tcMar>
              <w:top w:w="120" w:type="dxa"/>
              <w:start w:w="140" w:type="dxa"/>
              <w:bottom w:w="120" w:type="dxa"/>
              <w:end w:w="140" w:type="dxa"/>
            </w:tcMar>
            <w:vAlign w:val="center"/>
            <w:shd w:fill="EAF2F8"/>
          </w:tcPr>
          <w:p>
            <w:pPr>
              <w:spacing w:after="0" w:line="240" w:lineRule="auto"/>
            </w:pPr>
            <w:r>
              <w:rPr>
                <w:sz w:val="18"/>
              </w:rPr>
              <w:t>Approaching reclaim threshold</w:t>
            </w:r>
          </w:p>
        </w:tc>
        <w:tc>
          <w:tcPr>
            <w:tcW w:type="dxa" w:w="3859"/>
            <w:tcMar>
              <w:top w:w="120" w:type="dxa"/>
              <w:start w:w="140" w:type="dxa"/>
              <w:bottom w:w="120" w:type="dxa"/>
              <w:end w:w="140" w:type="dxa"/>
            </w:tcMar>
            <w:vAlign w:val="center"/>
            <w:shd w:fill="EAF2F8"/>
          </w:tcPr>
          <w:p>
            <w:pPr>
              <w:spacing w:after="0" w:line="240" w:lineRule="auto"/>
            </w:pPr>
            <w:r>
              <w:rPr>
                <w:sz w:val="18"/>
              </w:rPr>
              <w:t>Pre-review and notification planning</w:t>
            </w:r>
          </w:p>
        </w:tc>
      </w:tr>
      <w:tr>
        <w:trPr>
          <w:cantSplit/>
        </w:trPr>
        <w:tc>
          <w:tcPr>
            <w:tcW w:type="dxa" w:w="2333"/>
            <w:tcMar>
              <w:top w:w="120" w:type="dxa"/>
              <w:start w:w="140" w:type="dxa"/>
              <w:bottom w:w="120" w:type="dxa"/>
              <w:end w:w="140" w:type="dxa"/>
            </w:tcMar>
            <w:vAlign w:val="center"/>
            <w:shd w:fill="FFFFFF"/>
          </w:tcPr>
          <w:p>
            <w:pPr>
              <w:spacing w:after="0" w:line="240" w:lineRule="auto"/>
            </w:pPr>
            <w:r>
              <w:rPr>
                <w:sz w:val="18"/>
              </w:rPr>
              <w:t>Dormant 90 days or more</w:t>
            </w:r>
          </w:p>
        </w:tc>
        <w:tc>
          <w:tcPr>
            <w:tcW w:type="dxa" w:w="3672"/>
            <w:tcMar>
              <w:top w:w="120" w:type="dxa"/>
              <w:start w:w="140" w:type="dxa"/>
              <w:bottom w:w="120" w:type="dxa"/>
              <w:end w:w="140" w:type="dxa"/>
            </w:tcMar>
            <w:vAlign w:val="center"/>
            <w:shd w:fill="FFFFFF"/>
          </w:tcPr>
          <w:p>
            <w:pPr>
              <w:spacing w:after="0" w:line="240" w:lineRule="auto"/>
            </w:pPr>
            <w:r>
              <w:rPr>
                <w:sz w:val="18"/>
              </w:rPr>
              <w:t>Policy threshold met</w:t>
            </w:r>
          </w:p>
        </w:tc>
        <w:tc>
          <w:tcPr>
            <w:tcW w:type="dxa" w:w="3859"/>
            <w:tcMar>
              <w:top w:w="120" w:type="dxa"/>
              <w:start w:w="140" w:type="dxa"/>
              <w:bottom w:w="120" w:type="dxa"/>
              <w:end w:w="140" w:type="dxa"/>
            </w:tcMar>
            <w:vAlign w:val="center"/>
            <w:shd w:fill="FFFFFF"/>
          </w:tcPr>
          <w:p>
            <w:pPr>
              <w:spacing w:after="0" w:line="240" w:lineRule="auto"/>
            </w:pPr>
            <w:r>
              <w:rPr>
                <w:sz w:val="18"/>
              </w:rPr>
              <w:t>Candidate only after all eligibility and evidence checks</w:t>
            </w:r>
          </w:p>
        </w:tc>
      </w:tr>
      <w:tr>
        <w:trPr>
          <w:cantSplit/>
        </w:trPr>
        <w:tc>
          <w:tcPr>
            <w:tcW w:type="dxa" w:w="2333"/>
            <w:tcMar>
              <w:top w:w="120" w:type="dxa"/>
              <w:start w:w="140" w:type="dxa"/>
              <w:bottom w:w="120" w:type="dxa"/>
              <w:end w:w="140" w:type="dxa"/>
            </w:tcMar>
            <w:vAlign w:val="center"/>
            <w:shd w:fill="EAF2F8"/>
          </w:tcPr>
          <w:p>
            <w:pPr>
              <w:spacing w:after="0" w:line="240" w:lineRule="auto"/>
            </w:pPr>
            <w:r>
              <w:rPr>
                <w:sz w:val="18"/>
              </w:rPr>
              <w:t>No activity observed</w:t>
            </w:r>
          </w:p>
        </w:tc>
        <w:tc>
          <w:tcPr>
            <w:tcW w:type="dxa" w:w="3672"/>
            <w:tcMar>
              <w:top w:w="120" w:type="dxa"/>
              <w:start w:w="140" w:type="dxa"/>
              <w:bottom w:w="120" w:type="dxa"/>
              <w:end w:w="140" w:type="dxa"/>
            </w:tcMar>
            <w:vAlign w:val="center"/>
            <w:shd w:fill="EAF2F8"/>
          </w:tcPr>
          <w:p>
            <w:pPr>
              <w:spacing w:after="0" w:line="240" w:lineRule="auto"/>
            </w:pPr>
            <w:r>
              <w:rPr>
                <w:sz w:val="18"/>
              </w:rPr>
              <w:t>No event matched for the licensed identity</w:t>
            </w:r>
          </w:p>
        </w:tc>
        <w:tc>
          <w:tcPr>
            <w:tcW w:type="dxa" w:w="3859"/>
            <w:tcMar>
              <w:top w:w="120" w:type="dxa"/>
              <w:start w:w="140" w:type="dxa"/>
              <w:bottom w:w="120" w:type="dxa"/>
              <w:end w:w="140" w:type="dxa"/>
            </w:tcMar>
            <w:vAlign w:val="center"/>
            <w:shd w:fill="EAF2F8"/>
          </w:tcPr>
          <w:p>
            <w:pPr>
              <w:spacing w:after="0" w:line="240" w:lineRule="auto"/>
            </w:pPr>
            <w:r>
              <w:rPr>
                <w:sz w:val="18"/>
              </w:rPr>
              <w:t>Separate evidence state, not automatic dormancy</w:t>
            </w:r>
          </w:p>
        </w:tc>
      </w:tr>
      <w:tr>
        <w:trPr>
          <w:cantSplit/>
        </w:trPr>
        <w:tc>
          <w:tcPr>
            <w:tcW w:type="dxa" w:w="2333"/>
            <w:tcMar>
              <w:top w:w="120" w:type="dxa"/>
              <w:start w:w="140" w:type="dxa"/>
              <w:bottom w:w="120" w:type="dxa"/>
              <w:end w:w="140" w:type="dxa"/>
            </w:tcMar>
            <w:vAlign w:val="center"/>
            <w:shd w:fill="FFFFFF"/>
          </w:tcPr>
          <w:p>
            <w:pPr>
              <w:spacing w:after="0" w:line="240" w:lineRule="auto"/>
            </w:pPr>
            <w:r>
              <w:rPr>
                <w:sz w:val="18"/>
              </w:rPr>
              <w:t>Insufficient coverage</w:t>
            </w:r>
          </w:p>
        </w:tc>
        <w:tc>
          <w:tcPr>
            <w:tcW w:type="dxa" w:w="3672"/>
            <w:tcMar>
              <w:top w:w="120" w:type="dxa"/>
              <w:start w:w="140" w:type="dxa"/>
              <w:bottom w:w="120" w:type="dxa"/>
              <w:end w:w="140" w:type="dxa"/>
            </w:tcMar>
            <w:vAlign w:val="center"/>
            <w:shd w:fill="FFFFFF"/>
          </w:tcPr>
          <w:p>
            <w:pPr>
              <w:spacing w:after="0" w:line="240" w:lineRule="auto"/>
            </w:pPr>
            <w:r>
              <w:rPr>
                <w:sz w:val="18"/>
              </w:rPr>
              <w:t>The required history is incomplete</w:t>
            </w:r>
          </w:p>
        </w:tc>
        <w:tc>
          <w:tcPr>
            <w:tcW w:type="dxa" w:w="3859"/>
            <w:tcMar>
              <w:top w:w="120" w:type="dxa"/>
              <w:start w:w="140" w:type="dxa"/>
              <w:bottom w:w="120" w:type="dxa"/>
              <w:end w:w="140" w:type="dxa"/>
            </w:tcMar>
            <w:vAlign w:val="center"/>
            <w:shd w:fill="FFFFFF"/>
          </w:tcPr>
          <w:p>
            <w:pPr>
              <w:spacing w:after="0" w:line="240" w:lineRule="auto"/>
            </w:pPr>
            <w:r>
              <w:rPr>
                <w:sz w:val="18"/>
              </w:rPr>
              <w:t>Exclude from confirmed candidate counts</w:t>
            </w:r>
          </w:p>
        </w:tc>
      </w:tr>
    </w:tbl>
    <w:p>
      <w:pPr>
        <w:spacing w:after="20"/>
      </w:pPr>
    </w:p>
    <w:p>
      <w:pPr>
        <w:pStyle w:val="Heading2"/>
        <w:keepNext/>
      </w:pPr>
      <w:r>
        <w:t>Identity and eligibility controls</w:t>
      </w:r>
    </w:p>
    <w:p>
      <w:pPr>
        <w:pStyle w:val="ListBullet"/>
      </w:pPr>
      <w:r>
        <w:t>Classify accounts as HUMAN, SERVICE_ACCOUNT, BOT_OR_APP, or UNKNOWN. A svc- prefix is useful but is not sufficient as the only classifier.</w:t>
      </w:r>
    </w:p>
    <w:p>
      <w:pPr>
        <w:pStyle w:val="ListBullet"/>
      </w:pPr>
      <w:r>
        <w:t>Start every calculation from the current licensed-user inventory and left join activity. This keeps licensed users with zero observed events in the report.</w:t>
      </w:r>
    </w:p>
    <w:p>
      <w:pPr>
        <w:pStyle w:val="ListBullet"/>
      </w:pPr>
      <w:r>
        <w:t>Persist LDAP or SCIM lookup results with checked_at, is_member, check_status, and check_error. A directory error must never be interpreted as non-membership or dormancy.</w:t>
      </w:r>
    </w:p>
    <w:p>
      <w:pPr>
        <w:pStyle w:val="ListBullet"/>
      </w:pPr>
      <w:r>
        <w:t>Count users in the dashboard from the user-level view. Generate group-removal rows from the action view so membership in two target groups does not count as two dormant users.</w:t>
      </w:r>
    </w:p>
    <w:p>
      <w:pPr>
        <w:pStyle w:val="ListBullet"/>
      </w:pPr>
      <w:r>
        <w:t>Show organization-owner membership and other privileged roles as a review warning before removal.</w:t>
      </w:r>
    </w:p>
    <w:p>
      <w:pPr>
        <w:pStyle w:val="Heading1"/>
        <w:keepNext/>
      </w:pPr>
      <w:r>
        <w:t>DEV data observations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26"/>
        <w:gridCol w:w="5026"/>
      </w:tblGrid>
      <w:tr>
        <w:trPr>
          <w:tblHeader w:val="true"/>
          <w:cantSplit/>
        </w:trPr>
        <w:tc>
          <w:tcPr>
            <w:tcW w:type="dxa" w:w="4608"/>
            <w:tcMar>
              <w:top w:w="120" w:type="dxa"/>
              <w:start w:w="140" w:type="dxa"/>
              <w:bottom w:w="120" w:type="dxa"/>
              <w:end w:w="140" w:type="dxa"/>
            </w:tcMar>
            <w:vAlign w:val="center"/>
            <w:shd w:fill="18364B"/>
          </w:tcPr>
          <w:p>
            <w:pPr>
              <w:jc w:val="left"/>
            </w:pPr>
            <w:r>
              <w:rPr>
                <w:b/>
                <w:color w:val="FFFFFF"/>
                <w:sz w:val="19"/>
              </w:rPr>
              <w:t>Observation</w:t>
            </w:r>
          </w:p>
        </w:tc>
        <w:tc>
          <w:tcPr>
            <w:tcW w:type="dxa" w:w="5256"/>
            <w:tcMar>
              <w:top w:w="120" w:type="dxa"/>
              <w:start w:w="140" w:type="dxa"/>
              <w:bottom w:w="120" w:type="dxa"/>
              <w:end w:w="140" w:type="dxa"/>
            </w:tcMar>
            <w:vAlign w:val="center"/>
            <w:shd w:fill="18364B"/>
          </w:tcPr>
          <w:p>
            <w:pPr>
              <w:jc w:val="left"/>
            </w:pPr>
            <w:r>
              <w:rPr>
                <w:b/>
                <w:color w:val="FFFFFF"/>
                <w:sz w:val="19"/>
              </w:rPr>
              <w:t>Design implication</w:t>
            </w:r>
          </w:p>
        </w:tc>
      </w:tr>
      <w:tr>
        <w:trPr>
          <w:cantSplit/>
        </w:trPr>
        <w:tc>
          <w:tcPr>
            <w:tcW w:type="dxa" w:w="4608"/>
            <w:tcMar>
              <w:top w:w="120" w:type="dxa"/>
              <w:start w:w="140" w:type="dxa"/>
              <w:bottom w:w="120" w:type="dxa"/>
              <w:end w:w="140" w:type="dxa"/>
            </w:tcMar>
            <w:vAlign w:val="center"/>
            <w:shd w:fill="FFFFFF"/>
          </w:tcPr>
          <w:p>
            <w:pPr>
              <w:spacing w:after="0" w:line="240" w:lineRule="auto"/>
            </w:pPr>
            <w:r>
              <w:rPr>
                <w:sz w:val="18"/>
              </w:rPr>
              <w:t>Approximately 484 million events were present in the inspected history</w:t>
            </w:r>
          </w:p>
        </w:tc>
        <w:tc>
          <w:tcPr>
            <w:tcW w:type="dxa" w:w="5256"/>
            <w:tcMar>
              <w:top w:w="120" w:type="dxa"/>
              <w:start w:w="140" w:type="dxa"/>
              <w:bottom w:w="120" w:type="dxa"/>
              <w:end w:w="140" w:type="dxa"/>
            </w:tcMar>
            <w:vAlign w:val="center"/>
            <w:shd w:fill="FFFFFF"/>
          </w:tcPr>
          <w:p>
            <w:pPr>
              <w:spacing w:after="0" w:line="240" w:lineRule="auto"/>
            </w:pPr>
            <w:r>
              <w:rPr>
                <w:sz w:val="18"/>
              </w:rPr>
              <w:t>Create incremental activity aggregates and avoid direct dashboard scans</w:t>
            </w:r>
          </w:p>
        </w:tc>
      </w:tr>
      <w:tr>
        <w:trPr>
          <w:cantSplit/>
        </w:trPr>
        <w:tc>
          <w:tcPr>
            <w:tcW w:type="dxa" w:w="4608"/>
            <w:tcMar>
              <w:top w:w="120" w:type="dxa"/>
              <w:start w:w="140" w:type="dxa"/>
              <w:bottom w:w="120" w:type="dxa"/>
              <w:end w:w="140" w:type="dxa"/>
            </w:tcMar>
            <w:vAlign w:val="center"/>
            <w:shd w:fill="EAF2F8"/>
          </w:tcPr>
          <w:p>
            <w:pPr>
              <w:spacing w:after="0" w:line="240" w:lineRule="auto"/>
            </w:pPr>
            <w:r>
              <w:rPr>
                <w:sz w:val="18"/>
              </w:rPr>
              <w:t>Approximately 34,378 actors appeared in the audit data</w:t>
            </w:r>
          </w:p>
        </w:tc>
        <w:tc>
          <w:tcPr>
            <w:tcW w:type="dxa" w:w="5256"/>
            <w:tcMar>
              <w:top w:w="120" w:type="dxa"/>
              <w:start w:w="140" w:type="dxa"/>
              <w:bottom w:w="120" w:type="dxa"/>
              <w:end w:w="140" w:type="dxa"/>
            </w:tcMar>
            <w:vAlign w:val="center"/>
            <w:shd w:fill="EAF2F8"/>
          </w:tcPr>
          <w:p>
            <w:pPr>
              <w:spacing w:after="0" w:line="240" w:lineRule="auto"/>
            </w:pPr>
            <w:r>
              <w:rPr>
                <w:sz w:val="18"/>
              </w:rPr>
              <w:t>Audit actors are not the license population; join from the consumed-license inventory</w:t>
            </w:r>
          </w:p>
        </w:tc>
      </w:tr>
      <w:tr>
        <w:trPr>
          <w:cantSplit/>
        </w:trPr>
        <w:tc>
          <w:tcPr>
            <w:tcW w:type="dxa" w:w="4608"/>
            <w:tcMar>
              <w:top w:w="120" w:type="dxa"/>
              <w:start w:w="140" w:type="dxa"/>
              <w:bottom w:w="120" w:type="dxa"/>
              <w:end w:w="140" w:type="dxa"/>
            </w:tcMar>
            <w:vAlign w:val="center"/>
            <w:shd w:fill="FFFFFF"/>
          </w:tcPr>
          <w:p>
            <w:pPr>
              <w:spacing w:after="0" w:line="240" w:lineRule="auto"/>
            </w:pPr>
            <w:r>
              <w:rPr>
                <w:sz w:val="18"/>
              </w:rPr>
              <w:t>One technical identity generated approximately 212 million events</w:t>
            </w:r>
          </w:p>
        </w:tc>
        <w:tc>
          <w:tcPr>
            <w:tcW w:type="dxa" w:w="5256"/>
            <w:tcMar>
              <w:top w:w="120" w:type="dxa"/>
              <w:start w:w="140" w:type="dxa"/>
              <w:bottom w:w="120" w:type="dxa"/>
              <w:end w:w="140" w:type="dxa"/>
            </w:tcMar>
            <w:vAlign w:val="center"/>
            <w:shd w:fill="FFFFFF"/>
          </w:tcPr>
          <w:p>
            <w:pPr>
              <w:spacing w:after="0" w:line="240" w:lineRule="auto"/>
            </w:pPr>
            <w:r>
              <w:rPr>
                <w:sz w:val="18"/>
              </w:rPr>
              <w:t>Separate human and technical identities before utilization reporting</w:t>
            </w:r>
          </w:p>
        </w:tc>
      </w:tr>
      <w:tr>
        <w:trPr>
          <w:cantSplit/>
        </w:trPr>
        <w:tc>
          <w:tcPr>
            <w:tcW w:type="dxa" w:w="4608"/>
            <w:tcMar>
              <w:top w:w="120" w:type="dxa"/>
              <w:start w:w="140" w:type="dxa"/>
              <w:bottom w:w="120" w:type="dxa"/>
              <w:end w:w="140" w:type="dxa"/>
            </w:tcMar>
            <w:vAlign w:val="center"/>
            <w:shd w:fill="EAF2F8"/>
          </w:tcPr>
          <w:p>
            <w:pPr>
              <w:spacing w:after="0" w:line="240" w:lineRule="auto"/>
            </w:pPr>
            <w:r>
              <w:rPr>
                <w:sz w:val="18"/>
              </w:rPr>
              <w:t>The 91-day span contained events on 81 dates</w:t>
            </w:r>
          </w:p>
        </w:tc>
        <w:tc>
          <w:tcPr>
            <w:tcW w:type="dxa" w:w="5256"/>
            <w:tcMar>
              <w:top w:w="120" w:type="dxa"/>
              <w:start w:w="140" w:type="dxa"/>
              <w:bottom w:w="120" w:type="dxa"/>
              <w:end w:w="140" w:type="dxa"/>
            </w:tcMar>
            <w:vAlign w:val="center"/>
            <w:shd w:fill="EAF2F8"/>
          </w:tcPr>
          <w:p>
            <w:pPr>
              <w:spacing w:after="0" w:line="240" w:lineRule="auto"/>
            </w:pPr>
            <w:r>
              <w:rPr>
                <w:sz w:val="18"/>
              </w:rPr>
              <w:t>The DEV gap is accepted for the prototype because streaming was stopped and restarted</w:t>
            </w:r>
          </w:p>
        </w:tc>
      </w:tr>
      <w:tr>
        <w:trPr>
          <w:cantSplit/>
        </w:trPr>
        <w:tc>
          <w:tcPr>
            <w:tcW w:type="dxa" w:w="4608"/>
            <w:tcMar>
              <w:top w:w="120" w:type="dxa"/>
              <w:start w:w="140" w:type="dxa"/>
              <w:bottom w:w="120" w:type="dxa"/>
              <w:end w:w="140" w:type="dxa"/>
            </w:tcMar>
            <w:vAlign w:val="center"/>
            <w:shd w:fill="FFFFFF"/>
          </w:tcPr>
          <w:p>
            <w:pPr>
              <w:spacing w:after="0" w:line="240" w:lineRule="auto"/>
            </w:pPr>
            <w:r>
              <w:rPr>
                <w:sz w:val="18"/>
              </w:rPr>
              <w:t>Authentication evidence is common for people but often absent for technical accounts</w:t>
            </w:r>
          </w:p>
        </w:tc>
        <w:tc>
          <w:tcPr>
            <w:tcW w:type="dxa" w:w="5256"/>
            <w:tcMar>
              <w:top w:w="120" w:type="dxa"/>
              <w:start w:w="140" w:type="dxa"/>
              <w:bottom w:w="120" w:type="dxa"/>
              <w:end w:w="140" w:type="dxa"/>
            </w:tcMar>
            <w:vAlign w:val="center"/>
            <w:shd w:fill="FFFFFF"/>
          </w:tcPr>
          <w:p>
            <w:pPr>
              <w:spacing w:after="0" w:line="240" w:lineRule="auto"/>
            </w:pPr>
            <w:r>
              <w:rPr>
                <w:sz w:val="18"/>
              </w:rPr>
              <w:t>Keep activity and authentication as separate signals</w:t>
            </w:r>
          </w:p>
        </w:tc>
      </w:tr>
    </w:tbl>
    <w:p>
      <w:pPr>
        <w:spacing w:after="20"/>
      </w:pPr>
    </w:p>
    <w:p>
      <w:r>
        <w:t>Production use of a confirmed 90-day status requires continuous audit coverage for the complete window. Missing evidence must lower confidence; it must not make a user appear more dormant. The DEV gap does not block pipeline and dashboard development, but the dashboard should continue to show data coverage and freshness.</w:t>
      </w:r>
    </w:p>
    <w:p>
      <w:pPr>
        <w:pStyle w:val="Heading1"/>
        <w:keepNext/>
      </w:pPr>
      <w:r>
        <w:t>Grafana dashboard</w:t>
      </w:r>
    </w:p>
    <w:p>
      <w:r>
        <w:t>The dashboard should be named GitHub License Utilization and Dormancy and should query only derived license-intelligence objects. The normalized audit table remains the source of evidence but is not a dashboard data source for per-refresh aggregation.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26"/>
        <w:gridCol w:w="5026"/>
      </w:tblGrid>
      <w:tr>
        <w:trPr>
          <w:tblHeader w:val="true"/>
          <w:cantSplit/>
        </w:trPr>
        <w:tc>
          <w:tcPr>
            <w:tcW w:type="dxa" w:w="2232"/>
            <w:tcMar>
              <w:top w:w="120" w:type="dxa"/>
              <w:start w:w="140" w:type="dxa"/>
              <w:bottom w:w="120" w:type="dxa"/>
              <w:end w:w="140" w:type="dxa"/>
            </w:tcMar>
            <w:vAlign w:val="center"/>
            <w:shd w:fill="18364B"/>
          </w:tcPr>
          <w:p>
            <w:pPr>
              <w:jc w:val="left"/>
            </w:pPr>
            <w:r>
              <w:rPr>
                <w:b/>
                <w:color w:val="FFFFFF"/>
                <w:sz w:val="19"/>
              </w:rPr>
              <w:t>Section</w:t>
            </w:r>
          </w:p>
        </w:tc>
        <w:tc>
          <w:tcPr>
            <w:tcW w:type="dxa" w:w="7632"/>
            <w:tcMar>
              <w:top w:w="120" w:type="dxa"/>
              <w:start w:w="140" w:type="dxa"/>
              <w:bottom w:w="120" w:type="dxa"/>
              <w:end w:w="140" w:type="dxa"/>
            </w:tcMar>
            <w:vAlign w:val="center"/>
            <w:shd w:fill="18364B"/>
          </w:tcPr>
          <w:p>
            <w:pPr>
              <w:jc w:val="left"/>
            </w:pPr>
            <w:r>
              <w:rPr>
                <w:b/>
                <w:color w:val="FFFFFF"/>
                <w:sz w:val="19"/>
              </w:rPr>
              <w:t>Panels</w:t>
            </w:r>
          </w:p>
        </w:tc>
      </w:tr>
      <w:tr>
        <w:trPr>
          <w:cantSplit/>
        </w:trPr>
        <w:tc>
          <w:tcPr>
            <w:tcW w:type="dxa" w:w="2232"/>
            <w:tcMar>
              <w:top w:w="120" w:type="dxa"/>
              <w:start w:w="140" w:type="dxa"/>
              <w:bottom w:w="120" w:type="dxa"/>
              <w:end w:w="140" w:type="dxa"/>
            </w:tcMar>
            <w:vAlign w:val="center"/>
            <w:shd w:fill="FFFFFF"/>
          </w:tcPr>
          <w:p>
            <w:pPr>
              <w:spacing w:after="0" w:line="240" w:lineRule="auto"/>
            </w:pPr>
            <w:r>
              <w:rPr>
                <w:sz w:val="18"/>
              </w:rPr>
              <w:t>Data health</w:t>
            </w:r>
          </w:p>
        </w:tc>
        <w:tc>
          <w:tcPr>
            <w:tcW w:type="dxa" w:w="7632"/>
            <w:tcMar>
              <w:top w:w="120" w:type="dxa"/>
              <w:start w:w="140" w:type="dxa"/>
              <w:bottom w:w="120" w:type="dxa"/>
              <w:end w:w="140" w:type="dxa"/>
            </w:tcMar>
            <w:vAlign w:val="center"/>
            <w:shd w:fill="FFFFFF"/>
          </w:tcPr>
          <w:p>
            <w:pPr>
              <w:spacing w:after="0" w:line="240" w:lineRule="auto"/>
            </w:pPr>
            <w:r>
              <w:rPr>
                <w:sz w:val="18"/>
              </w:rPr>
              <w:t>Latest complete license snapshot, collection status, audit freshness, and 90-day coverage confidence</w:t>
            </w:r>
          </w:p>
        </w:tc>
      </w:tr>
      <w:tr>
        <w:trPr>
          <w:cantSplit/>
        </w:trPr>
        <w:tc>
          <w:tcPr>
            <w:tcW w:type="dxa" w:w="2232"/>
            <w:tcMar>
              <w:top w:w="120" w:type="dxa"/>
              <w:start w:w="140" w:type="dxa"/>
              <w:bottom w:w="120" w:type="dxa"/>
              <w:end w:w="140" w:type="dxa"/>
            </w:tcMar>
            <w:vAlign w:val="center"/>
            <w:shd w:fill="EAF2F8"/>
          </w:tcPr>
          <w:p>
            <w:pPr>
              <w:spacing w:after="0" w:line="240" w:lineRule="auto"/>
            </w:pPr>
            <w:r>
              <w:rPr>
                <w:sz w:val="18"/>
              </w:rPr>
              <w:t>License summary</w:t>
            </w:r>
          </w:p>
        </w:tc>
        <w:tc>
          <w:tcPr>
            <w:tcW w:type="dxa" w:w="7632"/>
            <w:tcMar>
              <w:top w:w="120" w:type="dxa"/>
              <w:start w:w="140" w:type="dxa"/>
              <w:bottom w:w="120" w:type="dxa"/>
              <w:end w:w="140" w:type="dxa"/>
            </w:tcMar>
            <w:vAlign w:val="center"/>
            <w:shd w:fill="EAF2F8"/>
          </w:tcPr>
          <w:p>
            <w:pPr>
              <w:spacing w:after="0" w:line="240" w:lineRule="auto"/>
            </w:pPr>
            <w:r>
              <w:rPr>
                <w:sz w:val="18"/>
              </w:rPr>
              <w:t>Consumed and purchased seats, current licensed humans, active within 30 days, 30+, 45+, 60+, and confirmed 90-day candidates</w:t>
            </w:r>
          </w:p>
        </w:tc>
      </w:tr>
      <w:tr>
        <w:trPr>
          <w:cantSplit/>
        </w:trPr>
        <w:tc>
          <w:tcPr>
            <w:tcW w:type="dxa" w:w="2232"/>
            <w:tcMar>
              <w:top w:w="120" w:type="dxa"/>
              <w:start w:w="140" w:type="dxa"/>
              <w:bottom w:w="120" w:type="dxa"/>
              <w:end w:w="140" w:type="dxa"/>
            </w:tcMar>
            <w:vAlign w:val="center"/>
            <w:shd w:fill="FFFFFF"/>
          </w:tcPr>
          <w:p>
            <w:pPr>
              <w:spacing w:after="0" w:line="240" w:lineRule="auto"/>
            </w:pPr>
            <w:r>
              <w:rPr>
                <w:sz w:val="18"/>
              </w:rPr>
              <w:t>Analysis</w:t>
            </w:r>
          </w:p>
        </w:tc>
        <w:tc>
          <w:tcPr>
            <w:tcW w:type="dxa" w:w="7632"/>
            <w:tcMar>
              <w:top w:w="120" w:type="dxa"/>
              <w:start w:w="140" w:type="dxa"/>
              <w:bottom w:w="120" w:type="dxa"/>
              <w:end w:w="140" w:type="dxa"/>
            </w:tcMar>
            <w:vAlign w:val="center"/>
            <w:shd w:fill="FFFFFF"/>
          </w:tcPr>
          <w:p>
            <w:pPr>
              <w:spacing w:after="0" w:line="240" w:lineRule="auto"/>
            </w:pPr>
            <w:r>
              <w:rPr>
                <w:sz w:val="18"/>
              </w:rPr>
              <w:t>Inactivity bands, TDI versus non-TDI, UBR and manager breakdown, organization distribution, and latest activity type</w:t>
            </w:r>
          </w:p>
        </w:tc>
      </w:tr>
      <w:tr>
        <w:trPr>
          <w:cantSplit/>
        </w:trPr>
        <w:tc>
          <w:tcPr>
            <w:tcW w:type="dxa" w:w="2232"/>
            <w:tcMar>
              <w:top w:w="120" w:type="dxa"/>
              <w:start w:w="140" w:type="dxa"/>
              <w:bottom w:w="120" w:type="dxa"/>
              <w:end w:w="140" w:type="dxa"/>
            </w:tcMar>
            <w:vAlign w:val="center"/>
            <w:shd w:fill="EAF2F8"/>
          </w:tcPr>
          <w:p>
            <w:pPr>
              <w:spacing w:after="0" w:line="240" w:lineRule="auto"/>
            </w:pPr>
            <w:r>
              <w:rPr>
                <w:sz w:val="18"/>
              </w:rPr>
              <w:t>Candidate review</w:t>
            </w:r>
          </w:p>
        </w:tc>
        <w:tc>
          <w:tcPr>
            <w:tcW w:type="dxa" w:w="7632"/>
            <w:tcMar>
              <w:top w:w="120" w:type="dxa"/>
              <w:start w:w="140" w:type="dxa"/>
              <w:bottom w:w="120" w:type="dxa"/>
              <w:end w:w="140" w:type="dxa"/>
            </w:tcMar>
            <w:vAlign w:val="center"/>
            <w:shd w:fill="EAF2F8"/>
          </w:tcPr>
          <w:p>
            <w:pPr>
              <w:spacing w:after="0" w:line="240" w:lineRule="auto"/>
            </w:pPr>
            <w:r>
              <w:rPr>
                <w:sz w:val="18"/>
              </w:rPr>
              <w:t>Login, staff account, policy signal, last activity, last Git activity, last authentication, inactivity days, eligibility, exclusion reason, and review status</w:t>
            </w:r>
          </w:p>
        </w:tc>
      </w:tr>
      <w:tr>
        <w:trPr>
          <w:cantSplit/>
        </w:trPr>
        <w:tc>
          <w:tcPr>
            <w:tcW w:type="dxa" w:w="2232"/>
            <w:tcMar>
              <w:top w:w="120" w:type="dxa"/>
              <w:start w:w="140" w:type="dxa"/>
              <w:bottom w:w="120" w:type="dxa"/>
              <w:end w:w="140" w:type="dxa"/>
            </w:tcMar>
            <w:vAlign w:val="center"/>
            <w:shd w:fill="FFFFFF"/>
          </w:tcPr>
          <w:p>
            <w:pPr>
              <w:spacing w:after="0" w:line="240" w:lineRule="auto"/>
            </w:pPr>
            <w:r>
              <w:rPr>
                <w:sz w:val="18"/>
              </w:rPr>
              <w:t>Technical identities</w:t>
            </w:r>
          </w:p>
        </w:tc>
        <w:tc>
          <w:tcPr>
            <w:tcW w:type="dxa" w:w="7632"/>
            <w:tcMar>
              <w:top w:w="120" w:type="dxa"/>
              <w:start w:w="140" w:type="dxa"/>
              <w:bottom w:w="120" w:type="dxa"/>
              <w:end w:w="140" w:type="dxa"/>
            </w:tcMar>
            <w:vAlign w:val="center"/>
            <w:shd w:fill="FFFFFF"/>
          </w:tcPr>
          <w:p>
            <w:pPr>
              <w:spacing w:after="0" w:line="240" w:lineRule="auto"/>
            </w:pPr>
            <w:r>
              <w:rPr>
                <w:sz w:val="18"/>
              </w:rPr>
              <w:t>Service-account utilization and high-volume technical identities in a separate row</w:t>
            </w:r>
          </w:p>
        </w:tc>
      </w:tr>
      <w:tr>
        <w:trPr>
          <w:cantSplit/>
        </w:trPr>
        <w:tc>
          <w:tcPr>
            <w:tcW w:type="dxa" w:w="2232"/>
            <w:tcMar>
              <w:top w:w="120" w:type="dxa"/>
              <w:start w:w="140" w:type="dxa"/>
              <w:bottom w:w="120" w:type="dxa"/>
              <w:end w:w="140" w:type="dxa"/>
            </w:tcMar>
            <w:vAlign w:val="center"/>
            <w:shd w:fill="EAF2F8"/>
          </w:tcPr>
          <w:p>
            <w:pPr>
              <w:spacing w:after="0" w:line="240" w:lineRule="auto"/>
            </w:pPr>
            <w:r>
              <w:rPr>
                <w:sz w:val="18"/>
              </w:rPr>
              <w:t>Operations</w:t>
            </w:r>
          </w:p>
        </w:tc>
        <w:tc>
          <w:tcPr>
            <w:tcW w:type="dxa" w:w="7632"/>
            <w:tcMar>
              <w:top w:w="120" w:type="dxa"/>
              <w:start w:w="140" w:type="dxa"/>
              <w:bottom w:w="120" w:type="dxa"/>
              <w:end w:w="140" w:type="dxa"/>
            </w:tcMar>
            <w:vAlign w:val="center"/>
            <w:shd w:fill="EAF2F8"/>
          </w:tcPr>
          <w:p>
            <w:pPr>
              <w:spacing w:after="0" w:line="240" w:lineRule="auto"/>
            </w:pPr>
            <w:r>
              <w:rPr>
                <w:sz w:val="18"/>
              </w:rPr>
              <w:t>Users with no staff match, failed directory checks, unresolved identities, and snapshots held for review</w:t>
            </w:r>
          </w:p>
        </w:tc>
      </w:tr>
    </w:tbl>
    <w:p>
      <w:pPr>
        <w:spacing w:after="20"/>
      </w:pPr>
    </w:p>
    <w:p>
      <w:pPr>
        <w:pStyle w:val="Heading2"/>
        <w:keepNext/>
      </w:pPr>
      <w:r>
        <w:t>Recommended filters</w:t>
      </w:r>
    </w:p>
    <w:p>
      <w:pPr>
        <w:pStyle w:val="ListBullet"/>
      </w:pPr>
      <w:r>
        <w:t>Dormancy threshold with 30, 45, 60, and 90-day values</w:t>
      </w:r>
    </w:p>
    <w:p>
      <w:pPr>
        <w:pStyle w:val="ListBullet"/>
      </w:pPr>
      <w:r>
        <w:t>Flow type with TDI and non-TDI values</w:t>
      </w:r>
    </w:p>
    <w:p>
      <w:pPr>
        <w:pStyle w:val="ListBullet"/>
      </w:pPr>
      <w:r>
        <w:t>Account type</w:t>
      </w:r>
    </w:p>
    <w:p>
      <w:pPr>
        <w:pStyle w:val="ListBullet"/>
      </w:pPr>
      <w:r>
        <w:t>UBR level and manager</w:t>
      </w:r>
    </w:p>
    <w:p>
      <w:pPr>
        <w:pStyle w:val="ListBullet"/>
      </w:pPr>
      <w:r>
        <w:t>Organization and target SCIM group</w:t>
      </w:r>
    </w:p>
    <w:p>
      <w:pPr>
        <w:pStyle w:val="ListBullet"/>
      </w:pPr>
      <w:r>
        <w:t>Candidate status and exclusion reason</w:t>
      </w:r>
    </w:p>
    <w:p>
      <w:pPr>
        <w:pStyle w:val="ListBullet"/>
      </w:pPr>
      <w:r>
        <w:t>License type and Advanced Security status when a separate source is available</w:t>
      </w:r>
    </w:p>
    <w:p>
      <w:pPr>
        <w:pStyle w:val="Heading1"/>
        <w:keepNext/>
      </w:pPr>
      <w:r>
        <w:t>Security and access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26"/>
        <w:gridCol w:w="5026"/>
      </w:tblGrid>
      <w:tr>
        <w:trPr>
          <w:tblHeader w:val="true"/>
          <w:cantSplit/>
        </w:trPr>
        <w:tc>
          <w:tcPr>
            <w:tcW w:type="dxa" w:w="2333"/>
            <w:tcMar>
              <w:top w:w="120" w:type="dxa"/>
              <w:start w:w="140" w:type="dxa"/>
              <w:bottom w:w="120" w:type="dxa"/>
              <w:end w:w="140" w:type="dxa"/>
            </w:tcMar>
            <w:vAlign w:val="center"/>
            <w:shd w:fill="18364B"/>
          </w:tcPr>
          <w:p>
            <w:pPr>
              <w:jc w:val="left"/>
            </w:pPr>
            <w:r>
              <w:rPr>
                <w:b/>
                <w:color w:val="FFFFFF"/>
                <w:sz w:val="19"/>
              </w:rPr>
              <w:t>Control area</w:t>
            </w:r>
          </w:p>
        </w:tc>
        <w:tc>
          <w:tcPr>
            <w:tcW w:type="dxa" w:w="7531"/>
            <w:tcMar>
              <w:top w:w="120" w:type="dxa"/>
              <w:start w:w="140" w:type="dxa"/>
              <w:bottom w:w="120" w:type="dxa"/>
              <w:end w:w="140" w:type="dxa"/>
            </w:tcMar>
            <w:vAlign w:val="center"/>
            <w:shd w:fill="18364B"/>
          </w:tcPr>
          <w:p>
            <w:pPr>
              <w:jc w:val="left"/>
            </w:pPr>
            <w:r>
              <w:rPr>
                <w:b/>
                <w:color w:val="FFFFFF"/>
                <w:sz w:val="19"/>
              </w:rPr>
              <w:t>Required control</w:t>
            </w:r>
          </w:p>
        </w:tc>
      </w:tr>
      <w:tr>
        <w:trPr>
          <w:cantSplit/>
        </w:trPr>
        <w:tc>
          <w:tcPr>
            <w:tcW w:type="dxa" w:w="2333"/>
            <w:tcMar>
              <w:top w:w="120" w:type="dxa"/>
              <w:start w:w="140" w:type="dxa"/>
              <w:bottom w:w="120" w:type="dxa"/>
              <w:end w:w="140" w:type="dxa"/>
            </w:tcMar>
            <w:vAlign w:val="center"/>
            <w:shd w:fill="FFFFFF"/>
          </w:tcPr>
          <w:p>
            <w:pPr>
              <w:spacing w:after="0" w:line="240" w:lineRule="auto"/>
            </w:pPr>
            <w:r>
              <w:rPr>
                <w:sz w:val="18"/>
              </w:rPr>
              <w:t>GitHub App</w:t>
            </w:r>
          </w:p>
        </w:tc>
        <w:tc>
          <w:tcPr>
            <w:tcW w:type="dxa" w:w="7531"/>
            <w:tcMar>
              <w:top w:w="120" w:type="dxa"/>
              <w:start w:w="140" w:type="dxa"/>
              <w:bottom w:w="120" w:type="dxa"/>
              <w:end w:w="140" w:type="dxa"/>
            </w:tcMar>
            <w:vAlign w:val="center"/>
            <w:shd w:fill="FFFFFF"/>
          </w:tcPr>
          <w:p>
            <w:pPr>
              <w:spacing w:after="0" w:line="240" w:lineRule="auto"/>
            </w:pPr>
            <w:r>
              <w:rPr>
                <w:sz w:val="18"/>
              </w:rPr>
              <w:t>Enterprise installation with Enterprise billing read-only. Enterprise organizations and Enterprise people remain No access for this collector.</w:t>
            </w:r>
          </w:p>
        </w:tc>
      </w:tr>
      <w:tr>
        <w:trPr>
          <w:cantSplit/>
        </w:trPr>
        <w:tc>
          <w:tcPr>
            <w:tcW w:type="dxa" w:w="2333"/>
            <w:tcMar>
              <w:top w:w="120" w:type="dxa"/>
              <w:start w:w="140" w:type="dxa"/>
              <w:bottom w:w="120" w:type="dxa"/>
              <w:end w:w="140" w:type="dxa"/>
            </w:tcMar>
            <w:vAlign w:val="center"/>
            <w:shd w:fill="EAF2F8"/>
          </w:tcPr>
          <w:p>
            <w:pPr>
              <w:spacing w:after="0" w:line="240" w:lineRule="auto"/>
            </w:pPr>
            <w:r>
              <w:rPr>
                <w:sz w:val="18"/>
              </w:rPr>
              <w:t>GitHub private key</w:t>
            </w:r>
          </w:p>
        </w:tc>
        <w:tc>
          <w:tcPr>
            <w:tcW w:type="dxa" w:w="7531"/>
            <w:tcMar>
              <w:top w:w="120" w:type="dxa"/>
              <w:start w:w="140" w:type="dxa"/>
              <w:bottom w:w="120" w:type="dxa"/>
              <w:end w:w="140" w:type="dxa"/>
            </w:tcMar>
            <w:vAlign w:val="center"/>
            <w:shd w:fill="EAF2F8"/>
          </w:tcPr>
          <w:p>
            <w:pPr>
              <w:spacing w:after="0" w:line="240" w:lineRule="auto"/>
            </w:pPr>
            <w:r>
              <w:rPr>
                <w:sz w:val="18"/>
              </w:rPr>
              <w:t>Secret Manager secret value supplied outside Terraform state. Pin a numeric secret version after DEV validation.</w:t>
            </w:r>
          </w:p>
        </w:tc>
      </w:tr>
      <w:tr>
        <w:trPr>
          <w:cantSplit/>
        </w:trPr>
        <w:tc>
          <w:tcPr>
            <w:tcW w:type="dxa" w:w="2333"/>
            <w:tcMar>
              <w:top w:w="120" w:type="dxa"/>
              <w:start w:w="140" w:type="dxa"/>
              <w:bottom w:w="120" w:type="dxa"/>
              <w:end w:w="140" w:type="dxa"/>
            </w:tcMar>
            <w:vAlign w:val="center"/>
            <w:shd w:fill="FFFFFF"/>
          </w:tcPr>
          <w:p>
            <w:pPr>
              <w:spacing w:after="0" w:line="240" w:lineRule="auto"/>
            </w:pPr>
            <w:r>
              <w:rPr>
                <w:sz w:val="18"/>
              </w:rPr>
              <w:t>Runtime identity</w:t>
            </w:r>
          </w:p>
        </w:tc>
        <w:tc>
          <w:tcPr>
            <w:tcW w:type="dxa" w:w="7531"/>
            <w:tcMar>
              <w:top w:w="120" w:type="dxa"/>
              <w:start w:w="140" w:type="dxa"/>
              <w:bottom w:w="120" w:type="dxa"/>
              <w:end w:w="140" w:type="dxa"/>
            </w:tcMar>
            <w:vAlign w:val="center"/>
            <w:shd w:fill="FFFFFF"/>
          </w:tcPr>
          <w:p>
            <w:pPr>
              <w:spacing w:after="0" w:line="240" w:lineRule="auto"/>
            </w:pPr>
            <w:r>
              <w:rPr>
                <w:sz w:val="18"/>
              </w:rPr>
              <w:t>Dedicated Cloud Run service account with BigQuery job creation, dataset-scoped table read and update-data permissions, archive object create and read, and access to one secret.</w:t>
            </w:r>
          </w:p>
        </w:tc>
      </w:tr>
      <w:tr>
        <w:trPr>
          <w:cantSplit/>
        </w:trPr>
        <w:tc>
          <w:tcPr>
            <w:tcW w:type="dxa" w:w="2333"/>
            <w:tcMar>
              <w:top w:w="120" w:type="dxa"/>
              <w:start w:w="140" w:type="dxa"/>
              <w:bottom w:w="120" w:type="dxa"/>
              <w:end w:w="140" w:type="dxa"/>
            </w:tcMar>
            <w:vAlign w:val="center"/>
            <w:shd w:fill="EAF2F8"/>
          </w:tcPr>
          <w:p>
            <w:pPr>
              <w:spacing w:after="0" w:line="240" w:lineRule="auto"/>
            </w:pPr>
            <w:r>
              <w:rPr>
                <w:sz w:val="18"/>
              </w:rPr>
              <w:t>Scheduler identity</w:t>
            </w:r>
          </w:p>
        </w:tc>
        <w:tc>
          <w:tcPr>
            <w:tcW w:type="dxa" w:w="7531"/>
            <w:tcMar>
              <w:top w:w="120" w:type="dxa"/>
              <w:start w:w="140" w:type="dxa"/>
              <w:bottom w:w="120" w:type="dxa"/>
              <w:end w:w="140" w:type="dxa"/>
            </w:tcMar>
            <w:vAlign w:val="center"/>
            <w:shd w:fill="EAF2F8"/>
          </w:tcPr>
          <w:p>
            <w:pPr>
              <w:spacing w:after="0" w:line="240" w:lineRule="auto"/>
            </w:pPr>
            <w:r>
              <w:rPr>
                <w:sz w:val="18"/>
              </w:rPr>
              <w:t>Separate service account with only permission to invoke the specific Cloud Run Job.</w:t>
            </w:r>
          </w:p>
        </w:tc>
      </w:tr>
      <w:tr>
        <w:trPr>
          <w:cantSplit/>
        </w:trPr>
        <w:tc>
          <w:tcPr>
            <w:tcW w:type="dxa" w:w="2333"/>
            <w:tcMar>
              <w:top w:w="120" w:type="dxa"/>
              <w:start w:w="140" w:type="dxa"/>
              <w:bottom w:w="120" w:type="dxa"/>
              <w:end w:w="140" w:type="dxa"/>
            </w:tcMar>
            <w:vAlign w:val="center"/>
            <w:shd w:fill="FFFFFF"/>
          </w:tcPr>
          <w:p>
            <w:pPr>
              <w:spacing w:after="0" w:line="240" w:lineRule="auto"/>
            </w:pPr>
            <w:r>
              <w:rPr>
                <w:sz w:val="18"/>
              </w:rPr>
              <w:t>BigQuery changes</w:t>
            </w:r>
          </w:p>
        </w:tc>
        <w:tc>
          <w:tcPr>
            <w:tcW w:type="dxa" w:w="7531"/>
            <w:tcMar>
              <w:top w:w="120" w:type="dxa"/>
              <w:start w:w="140" w:type="dxa"/>
              <w:bottom w:w="120" w:type="dxa"/>
              <w:end w:w="140" w:type="dxa"/>
            </w:tcMar>
            <w:vAlign w:val="center"/>
            <w:shd w:fill="FFFFFF"/>
          </w:tcPr>
          <w:p>
            <w:pPr>
              <w:spacing w:after="0" w:line="240" w:lineRule="auto"/>
            </w:pPr>
            <w:r>
              <w:rPr>
                <w:sz w:val="18"/>
              </w:rPr>
              <w:t>Tables and views are created and changed only through Terraform. The application uses CREATE_NEVER and cannot create or delete tables.</w:t>
            </w:r>
          </w:p>
        </w:tc>
      </w:tr>
      <w:tr>
        <w:trPr>
          <w:cantSplit/>
        </w:trPr>
        <w:tc>
          <w:tcPr>
            <w:tcW w:type="dxa" w:w="2333"/>
            <w:tcMar>
              <w:top w:w="120" w:type="dxa"/>
              <w:start w:w="140" w:type="dxa"/>
              <w:bottom w:w="120" w:type="dxa"/>
              <w:end w:w="140" w:type="dxa"/>
            </w:tcMar>
            <w:vAlign w:val="center"/>
            <w:shd w:fill="EAF2F8"/>
          </w:tcPr>
          <w:p>
            <w:pPr>
              <w:spacing w:after="0" w:line="240" w:lineRule="auto"/>
            </w:pPr>
            <w:r>
              <w:rPr>
                <w:sz w:val="18"/>
              </w:rPr>
              <w:t>Network</w:t>
            </w:r>
          </w:p>
        </w:tc>
        <w:tc>
          <w:tcPr>
            <w:tcW w:type="dxa" w:w="7531"/>
            <w:tcMar>
              <w:top w:w="120" w:type="dxa"/>
              <w:start w:w="140" w:type="dxa"/>
              <w:bottom w:w="120" w:type="dxa"/>
              <w:end w:w="140" w:type="dxa"/>
            </w:tcMar>
            <w:vAlign w:val="center"/>
            <w:shd w:fill="EAF2F8"/>
          </w:tcPr>
          <w:p>
            <w:pPr>
              <w:spacing w:after="0" w:line="240" w:lineRule="auto"/>
            </w:pPr>
            <w:r>
              <w:rPr>
                <w:sz w:val="18"/>
              </w:rPr>
              <w:t>Outbound HTTPS to the GitHub API and Google APIs through the approved VPC, proxy, or Cloud NAT path. Use an approved static egress IP when the enterprise IP allow list requires it.</w:t>
            </w:r>
          </w:p>
        </w:tc>
      </w:tr>
      <w:tr>
        <w:trPr>
          <w:cantSplit/>
        </w:trPr>
        <w:tc>
          <w:tcPr>
            <w:tcW w:type="dxa" w:w="2333"/>
            <w:tcMar>
              <w:top w:w="120" w:type="dxa"/>
              <w:start w:w="140" w:type="dxa"/>
              <w:bottom w:w="120" w:type="dxa"/>
              <w:end w:w="140" w:type="dxa"/>
            </w:tcMar>
            <w:vAlign w:val="center"/>
            <w:shd w:fill="FFFFFF"/>
          </w:tcPr>
          <w:p>
            <w:pPr>
              <w:spacing w:after="0" w:line="240" w:lineRule="auto"/>
            </w:pPr>
            <w:r>
              <w:rPr>
                <w:sz w:val="18"/>
              </w:rPr>
              <w:t>Data protection</w:t>
            </w:r>
          </w:p>
        </w:tc>
        <w:tc>
          <w:tcPr>
            <w:tcW w:type="dxa" w:w="7531"/>
            <w:tcMar>
              <w:top w:w="120" w:type="dxa"/>
              <w:start w:w="140" w:type="dxa"/>
              <w:bottom w:w="120" w:type="dxa"/>
              <w:end w:w="140" w:type="dxa"/>
            </w:tcMar>
            <w:vAlign w:val="center"/>
            <w:shd w:fill="FFFFFF"/>
          </w:tcPr>
          <w:p>
            <w:pPr>
              <w:spacing w:after="0" w:line="240" w:lineRule="auto"/>
            </w:pPr>
            <w:r>
              <w:rPr>
                <w:sz w:val="18"/>
              </w:rPr>
              <w:t>Treat raw license pages and canonical snapshots as identity data. Apply approved location, CMEK, retention, access review, logging, and DLP controls.</w:t>
            </w:r>
          </w:p>
        </w:tc>
      </w:tr>
      <w:tr>
        <w:trPr>
          <w:cantSplit/>
        </w:trPr>
        <w:tc>
          <w:tcPr>
            <w:tcW w:type="dxa" w:w="2333"/>
            <w:tcMar>
              <w:top w:w="120" w:type="dxa"/>
              <w:start w:w="140" w:type="dxa"/>
              <w:bottom w:w="120" w:type="dxa"/>
              <w:end w:w="140" w:type="dxa"/>
            </w:tcMar>
            <w:vAlign w:val="center"/>
            <w:shd w:fill="EAF2F8"/>
          </w:tcPr>
          <w:p>
            <w:pPr>
              <w:spacing w:after="0" w:line="240" w:lineRule="auto"/>
            </w:pPr>
            <w:r>
              <w:rPr>
                <w:sz w:val="18"/>
              </w:rPr>
              <w:t>Logging</w:t>
            </w:r>
          </w:p>
        </w:tc>
        <w:tc>
          <w:tcPr>
            <w:tcW w:type="dxa" w:w="7531"/>
            <w:tcMar>
              <w:top w:w="120" w:type="dxa"/>
              <w:start w:w="140" w:type="dxa"/>
              <w:bottom w:w="120" w:type="dxa"/>
              <w:end w:w="140" w:type="dxa"/>
            </w:tcMar>
            <w:vAlign w:val="center"/>
            <w:shd w:fill="EAF2F8"/>
          </w:tcPr>
          <w:p>
            <w:pPr>
              <w:spacing w:after="0" w:line="240" w:lineRule="auto"/>
            </w:pPr>
            <w:r>
              <w:rPr>
                <w:sz w:val="18"/>
              </w:rPr>
              <w:t>Log execution identifiers, stages, counts, and error classes only. Do not log tokens, private keys, user names, email addresses, or API bodies.</w:t>
            </w:r>
          </w:p>
        </w:tc>
      </w:tr>
    </w:tbl>
    <w:p>
      <w:pPr>
        <w:spacing w:after="20"/>
      </w:pPr>
    </w:p>
    <w:p>
      <w:r>
        <w:t>GitHub released Enterprise billing permissions for GitHub Apps in August 2026. The current UI provides read-only and read-and-write levels. This collector requires read-only. If the API returns 403, inspect the X-Accepted-GitHub-Permissions response header and resolve any tenant or preview issue without adding unrelated write permissions.</w:t>
      </w:r>
    </w:p>
    <w:p>
      <w:pPr>
        <w:pStyle w:val="Heading1"/>
        <w:keepNext/>
      </w:pPr>
      <w:r>
        <w:t>Deployment plan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51"/>
        <w:gridCol w:w="3351"/>
        <w:gridCol w:w="3351"/>
      </w:tblGrid>
      <w:tr>
        <w:trPr>
          <w:tblHeader w:val="true"/>
          <w:cantSplit/>
        </w:trPr>
        <w:tc>
          <w:tcPr>
            <w:tcW w:type="dxa" w:w="1944"/>
            <w:tcMar>
              <w:top w:w="120" w:type="dxa"/>
              <w:start w:w="140" w:type="dxa"/>
              <w:bottom w:w="120" w:type="dxa"/>
              <w:end w:w="140" w:type="dxa"/>
            </w:tcMar>
            <w:vAlign w:val="center"/>
            <w:shd w:fill="18364B"/>
          </w:tcPr>
          <w:p>
            <w:pPr>
              <w:jc w:val="left"/>
            </w:pPr>
            <w:r>
              <w:rPr>
                <w:b/>
                <w:color w:val="FFFFFF"/>
                <w:sz w:val="19"/>
              </w:rPr>
              <w:t>Phase</w:t>
            </w:r>
          </w:p>
        </w:tc>
        <w:tc>
          <w:tcPr>
            <w:tcW w:type="dxa" w:w="4320"/>
            <w:tcMar>
              <w:top w:w="120" w:type="dxa"/>
              <w:start w:w="140" w:type="dxa"/>
              <w:bottom w:w="120" w:type="dxa"/>
              <w:end w:w="140" w:type="dxa"/>
            </w:tcMar>
            <w:vAlign w:val="center"/>
            <w:shd w:fill="18364B"/>
          </w:tcPr>
          <w:p>
            <w:pPr>
              <w:jc w:val="left"/>
            </w:pPr>
            <w:r>
              <w:rPr>
                <w:b/>
                <w:color w:val="FFFFFF"/>
                <w:sz w:val="19"/>
              </w:rPr>
              <w:t>Configuration</w:t>
            </w:r>
          </w:p>
        </w:tc>
        <w:tc>
          <w:tcPr>
            <w:tcW w:type="dxa" w:w="3600"/>
            <w:tcMar>
              <w:top w:w="120" w:type="dxa"/>
              <w:start w:w="140" w:type="dxa"/>
              <w:bottom w:w="120" w:type="dxa"/>
              <w:end w:w="140" w:type="dxa"/>
            </w:tcMar>
            <w:vAlign w:val="center"/>
            <w:shd w:fill="18364B"/>
          </w:tcPr>
          <w:p>
            <w:pPr>
              <w:jc w:val="left"/>
            </w:pPr>
            <w:r>
              <w:rPr>
                <w:b/>
                <w:color w:val="FFFFFF"/>
                <w:sz w:val="19"/>
              </w:rPr>
              <w:t>Exit criteria</w:t>
            </w:r>
          </w:p>
        </w:tc>
      </w:tr>
      <w:tr>
        <w:trPr>
          <w:cantSplit/>
        </w:trPr>
        <w:tc>
          <w:tcPr>
            <w:tcW w:type="dxa" w:w="1944"/>
            <w:tcMar>
              <w:top w:w="120" w:type="dxa"/>
              <w:start w:w="140" w:type="dxa"/>
              <w:bottom w:w="120" w:type="dxa"/>
              <w:end w:w="140" w:type="dxa"/>
            </w:tcMar>
            <w:vAlign w:val="center"/>
            <w:shd w:fill="FFFFFF"/>
          </w:tcPr>
          <w:p>
            <w:pPr>
              <w:spacing w:after="0" w:line="240" w:lineRule="auto"/>
            </w:pPr>
            <w:r>
              <w:rPr>
                <w:sz w:val="18"/>
              </w:rPr>
              <w:t>GitHub App</w:t>
            </w:r>
          </w:p>
        </w:tc>
        <w:tc>
          <w:tcPr>
            <w:tcW w:type="dxa" w:w="4320"/>
            <w:tcMar>
              <w:top w:w="120" w:type="dxa"/>
              <w:start w:w="140" w:type="dxa"/>
              <w:bottom w:w="120" w:type="dxa"/>
              <w:end w:w="140" w:type="dxa"/>
            </w:tcMar>
            <w:vAlign w:val="center"/>
            <w:shd w:fill="FFFFFF"/>
          </w:tcPr>
          <w:p>
            <w:pPr>
              <w:spacing w:after="0" w:line="240" w:lineRule="auto"/>
            </w:pPr>
            <w:r>
              <w:rPr>
                <w:sz w:val="18"/>
              </w:rPr>
              <w:t>Install at enterprise level, grant Enterprise billing read-only, and store the PEM in Secret Manager</w:t>
            </w:r>
          </w:p>
        </w:tc>
        <w:tc>
          <w:tcPr>
            <w:tcW w:type="dxa" w:w="3600"/>
            <w:tcMar>
              <w:top w:w="120" w:type="dxa"/>
              <w:start w:w="140" w:type="dxa"/>
              <w:bottom w:w="120" w:type="dxa"/>
              <w:end w:w="140" w:type="dxa"/>
            </w:tcMar>
            <w:vAlign w:val="center"/>
            <w:shd w:fill="FFFFFF"/>
          </w:tcPr>
          <w:p>
            <w:pPr>
              <w:spacing w:after="0" w:line="240" w:lineRule="auto"/>
            </w:pPr>
            <w:r>
              <w:rPr>
                <w:sz w:val="18"/>
              </w:rPr>
              <w:t>Installation token can be created and the app permission is visible on the installation</w:t>
            </w:r>
          </w:p>
        </w:tc>
      </w:tr>
      <w:tr>
        <w:trPr>
          <w:cantSplit/>
        </w:trPr>
        <w:tc>
          <w:tcPr>
            <w:tcW w:type="dxa" w:w="1944"/>
            <w:tcMar>
              <w:top w:w="120" w:type="dxa"/>
              <w:start w:w="140" w:type="dxa"/>
              <w:bottom w:w="120" w:type="dxa"/>
              <w:end w:w="140" w:type="dxa"/>
            </w:tcMar>
            <w:vAlign w:val="center"/>
            <w:shd w:fill="EAF2F8"/>
          </w:tcPr>
          <w:p>
            <w:pPr>
              <w:spacing w:after="0" w:line="240" w:lineRule="auto"/>
            </w:pPr>
            <w:r>
              <w:rPr>
                <w:sz w:val="18"/>
              </w:rPr>
              <w:t>Validate mode</w:t>
            </w:r>
          </w:p>
        </w:tc>
        <w:tc>
          <w:tcPr>
            <w:tcW w:type="dxa" w:w="4320"/>
            <w:tcMar>
              <w:top w:w="120" w:type="dxa"/>
              <w:start w:w="140" w:type="dxa"/>
              <w:bottom w:w="120" w:type="dxa"/>
              <w:end w:w="140" w:type="dxa"/>
            </w:tcMar>
            <w:vAlign w:val="center"/>
            <w:shd w:fill="EAF2F8"/>
          </w:tcPr>
          <w:p>
            <w:pPr>
              <w:spacing w:after="0" w:line="240" w:lineRule="auto"/>
            </w:pPr>
            <w:r>
              <w:rPr>
                <w:sz w:val="18"/>
              </w:rPr>
              <w:t>RUN_MODE equals validate and scheduler remains paused</w:t>
            </w:r>
          </w:p>
        </w:tc>
        <w:tc>
          <w:tcPr>
            <w:tcW w:type="dxa" w:w="3600"/>
            <w:tcMar>
              <w:top w:w="120" w:type="dxa"/>
              <w:start w:w="140" w:type="dxa"/>
              <w:bottom w:w="120" w:type="dxa"/>
              <w:end w:w="140" w:type="dxa"/>
            </w:tcMar>
            <w:vAlign w:val="center"/>
            <w:shd w:fill="EAF2F8"/>
          </w:tcPr>
          <w:p>
            <w:pPr>
              <w:spacing w:after="0" w:line="240" w:lineRule="auto"/>
            </w:pPr>
            <w:r>
              <w:rPr>
                <w:sz w:val="18"/>
              </w:rPr>
              <w:t>Authentication and every API page succeed; no GCS or BigQuery writes occur</w:t>
            </w:r>
          </w:p>
        </w:tc>
      </w:tr>
      <w:tr>
        <w:trPr>
          <w:cantSplit/>
        </w:trPr>
        <w:tc>
          <w:tcPr>
            <w:tcW w:type="dxa" w:w="1944"/>
            <w:tcMar>
              <w:top w:w="120" w:type="dxa"/>
              <w:start w:w="140" w:type="dxa"/>
              <w:bottom w:w="120" w:type="dxa"/>
              <w:end w:w="140" w:type="dxa"/>
            </w:tcMar>
            <w:vAlign w:val="center"/>
            <w:shd w:fill="FFFFFF"/>
          </w:tcPr>
          <w:p>
            <w:pPr>
              <w:spacing w:after="0" w:line="240" w:lineRule="auto"/>
            </w:pPr>
            <w:r>
              <w:rPr>
                <w:sz w:val="18"/>
              </w:rPr>
              <w:t>First full load</w:t>
            </w:r>
          </w:p>
        </w:tc>
        <w:tc>
          <w:tcPr>
            <w:tcW w:type="dxa" w:w="4320"/>
            <w:tcMar>
              <w:top w:w="120" w:type="dxa"/>
              <w:start w:w="140" w:type="dxa"/>
              <w:bottom w:w="120" w:type="dxa"/>
              <w:end w:w="140" w:type="dxa"/>
            </w:tcMar>
            <w:vAlign w:val="center"/>
            <w:shd w:fill="FFFFFF"/>
          </w:tcPr>
          <w:p>
            <w:pPr>
              <w:spacing w:after="0" w:line="240" w:lineRule="auto"/>
            </w:pPr>
            <w:r>
              <w:rPr>
                <w:sz w:val="18"/>
              </w:rPr>
              <w:t>RUN_MODE equals full and scheduler remains paused</w:t>
            </w:r>
          </w:p>
        </w:tc>
        <w:tc>
          <w:tcPr>
            <w:tcW w:type="dxa" w:w="3600"/>
            <w:tcMar>
              <w:top w:w="120" w:type="dxa"/>
              <w:start w:w="140" w:type="dxa"/>
              <w:bottom w:w="120" w:type="dxa"/>
              <w:end w:w="140" w:type="dxa"/>
            </w:tcMar>
            <w:vAlign w:val="center"/>
            <w:shd w:fill="FFFFFF"/>
          </w:tcPr>
          <w:p>
            <w:pPr>
              <w:spacing w:after="0" w:line="240" w:lineRule="auto"/>
            </w:pPr>
            <w:r>
              <w:rPr>
                <w:sz w:val="18"/>
              </w:rPr>
              <w:t>One manual execution ends COMPLETE and source, archive, BigQuery, and current-view counts reconcile</w:t>
            </w:r>
          </w:p>
        </w:tc>
      </w:tr>
      <w:tr>
        <w:trPr>
          <w:cantSplit/>
        </w:trPr>
        <w:tc>
          <w:tcPr>
            <w:tcW w:type="dxa" w:w="1944"/>
            <w:tcMar>
              <w:top w:w="120" w:type="dxa"/>
              <w:start w:w="140" w:type="dxa"/>
              <w:bottom w:w="120" w:type="dxa"/>
              <w:end w:w="140" w:type="dxa"/>
            </w:tcMar>
            <w:vAlign w:val="center"/>
            <w:shd w:fill="EAF2F8"/>
          </w:tcPr>
          <w:p>
            <w:pPr>
              <w:spacing w:after="0" w:line="240" w:lineRule="auto"/>
            </w:pPr>
            <w:r>
              <w:rPr>
                <w:sz w:val="18"/>
              </w:rPr>
              <w:t>Legacy comparison</w:t>
            </w:r>
          </w:p>
        </w:tc>
        <w:tc>
          <w:tcPr>
            <w:tcW w:type="dxa" w:w="4320"/>
            <w:tcMar>
              <w:top w:w="120" w:type="dxa"/>
              <w:start w:w="140" w:type="dxa"/>
              <w:bottom w:w="120" w:type="dxa"/>
              <w:end w:w="140" w:type="dxa"/>
            </w:tcMar>
            <w:vAlign w:val="center"/>
            <w:shd w:fill="EAF2F8"/>
          </w:tcPr>
          <w:p>
            <w:pPr>
              <w:spacing w:after="0" w:line="240" w:lineRule="auto"/>
            </w:pPr>
            <w:r>
              <w:rPr>
                <w:sz w:val="18"/>
              </w:rPr>
              <w:t>Run the legacy script and BigQuery calculation for the same 90-day policy</w:t>
            </w:r>
          </w:p>
        </w:tc>
        <w:tc>
          <w:tcPr>
            <w:tcW w:type="dxa" w:w="3600"/>
            <w:tcMar>
              <w:top w:w="120" w:type="dxa"/>
              <w:start w:w="140" w:type="dxa"/>
              <w:bottom w:w="120" w:type="dxa"/>
              <w:end w:w="140" w:type="dxa"/>
            </w:tcMar>
            <w:vAlign w:val="center"/>
            <w:shd w:fill="EAF2F8"/>
          </w:tcPr>
          <w:p>
            <w:pPr>
              <w:spacing w:after="0" w:line="240" w:lineRule="auto"/>
            </w:pPr>
            <w:r>
              <w:rPr>
                <w:sz w:val="18"/>
              </w:rPr>
              <w:t>Every case where the legacy script says active and BigQuery says dormant is explained</w:t>
            </w:r>
          </w:p>
        </w:tc>
      </w:tr>
      <w:tr>
        <w:trPr>
          <w:cantSplit/>
        </w:trPr>
        <w:tc>
          <w:tcPr>
            <w:tcW w:type="dxa" w:w="1944"/>
            <w:tcMar>
              <w:top w:w="120" w:type="dxa"/>
              <w:start w:w="140" w:type="dxa"/>
              <w:bottom w:w="120" w:type="dxa"/>
              <w:end w:w="140" w:type="dxa"/>
            </w:tcMar>
            <w:vAlign w:val="center"/>
            <w:shd w:fill="FFFFFF"/>
          </w:tcPr>
          <w:p>
            <w:pPr>
              <w:spacing w:after="0" w:line="240" w:lineRule="auto"/>
            </w:pPr>
            <w:r>
              <w:rPr>
                <w:sz w:val="18"/>
              </w:rPr>
              <w:t>Scheduled collection</w:t>
            </w:r>
          </w:p>
        </w:tc>
        <w:tc>
          <w:tcPr>
            <w:tcW w:type="dxa" w:w="4320"/>
            <w:tcMar>
              <w:top w:w="120" w:type="dxa"/>
              <w:start w:w="140" w:type="dxa"/>
              <w:bottom w:w="120" w:type="dxa"/>
              <w:end w:w="140" w:type="dxa"/>
            </w:tcMar>
            <w:vAlign w:val="center"/>
            <w:shd w:fill="FFFFFF"/>
          </w:tcPr>
          <w:p>
            <w:pPr>
              <w:spacing w:after="0" w:line="240" w:lineRule="auto"/>
            </w:pPr>
            <w:r>
              <w:rPr>
                <w:sz w:val="18"/>
              </w:rPr>
              <w:t>Enable the daily Terraform-managed schedule</w:t>
            </w:r>
          </w:p>
        </w:tc>
        <w:tc>
          <w:tcPr>
            <w:tcW w:type="dxa" w:w="3600"/>
            <w:tcMar>
              <w:top w:w="120" w:type="dxa"/>
              <w:start w:w="140" w:type="dxa"/>
              <w:bottom w:w="120" w:type="dxa"/>
              <w:end w:w="140" w:type="dxa"/>
            </w:tcMar>
            <w:vAlign w:val="center"/>
            <w:shd w:fill="FFFFFF"/>
          </w:tcPr>
          <w:p>
            <w:pPr>
              <w:spacing w:after="0" w:line="240" w:lineRule="auto"/>
            </w:pPr>
            <w:r>
              <w:rPr>
                <w:sz w:val="18"/>
              </w:rPr>
              <w:t>Several consecutive complete snapshots and no unexplained count drift</w:t>
            </w:r>
          </w:p>
        </w:tc>
      </w:tr>
      <w:tr>
        <w:trPr>
          <w:cantSplit/>
        </w:trPr>
        <w:tc>
          <w:tcPr>
            <w:tcW w:type="dxa" w:w="1944"/>
            <w:tcMar>
              <w:top w:w="120" w:type="dxa"/>
              <w:start w:w="140" w:type="dxa"/>
              <w:bottom w:w="120" w:type="dxa"/>
              <w:end w:w="140" w:type="dxa"/>
            </w:tcMar>
            <w:vAlign w:val="center"/>
            <w:shd w:fill="EAF2F8"/>
          </w:tcPr>
          <w:p>
            <w:pPr>
              <w:spacing w:after="0" w:line="240" w:lineRule="auto"/>
            </w:pPr>
            <w:r>
              <w:rPr>
                <w:sz w:val="18"/>
              </w:rPr>
              <w:t>Dashboard release</w:t>
            </w:r>
          </w:p>
        </w:tc>
        <w:tc>
          <w:tcPr>
            <w:tcW w:type="dxa" w:w="4320"/>
            <w:tcMar>
              <w:top w:w="120" w:type="dxa"/>
              <w:start w:w="140" w:type="dxa"/>
              <w:bottom w:w="120" w:type="dxa"/>
              <w:end w:w="140" w:type="dxa"/>
            </w:tcMar>
            <w:vAlign w:val="center"/>
            <w:shd w:fill="EAF2F8"/>
          </w:tcPr>
          <w:p>
            <w:pPr>
              <w:spacing w:after="0" w:line="240" w:lineRule="auto"/>
            </w:pPr>
            <w:r>
              <w:rPr>
                <w:sz w:val="18"/>
              </w:rPr>
              <w:t>Point Grafana to derived views</w:t>
            </w:r>
          </w:p>
        </w:tc>
        <w:tc>
          <w:tcPr>
            <w:tcW w:type="dxa" w:w="3600"/>
            <w:tcMar>
              <w:top w:w="120" w:type="dxa"/>
              <w:start w:w="140" w:type="dxa"/>
              <w:bottom w:w="120" w:type="dxa"/>
              <w:end w:w="140" w:type="dxa"/>
            </w:tcMar>
            <w:vAlign w:val="center"/>
            <w:shd w:fill="EAF2F8"/>
          </w:tcPr>
          <w:p>
            <w:pPr>
              <w:spacing w:after="0" w:line="240" w:lineRule="auto"/>
            </w:pPr>
            <w:r>
              <w:rPr>
                <w:sz w:val="18"/>
              </w:rPr>
              <w:t>Stakeholders validate counts, exclusions, evidence, and export fields</w:t>
            </w:r>
          </w:p>
        </w:tc>
      </w:tr>
    </w:tbl>
    <w:p>
      <w:pPr>
        <w:spacing w:after="20"/>
      </w:pPr>
    </w:p>
    <w:p>
      <w:pPr>
        <w:pStyle w:val="Heading1"/>
        <w:keepNext/>
      </w:pPr>
      <w:r>
        <w:t>Operational monitoring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51"/>
        <w:gridCol w:w="3351"/>
        <w:gridCol w:w="3351"/>
      </w:tblGrid>
      <w:tr>
        <w:trPr>
          <w:tblHeader w:val="true"/>
          <w:cantSplit/>
        </w:trPr>
        <w:tc>
          <w:tcPr>
            <w:tcW w:type="dxa" w:w="4032"/>
            <w:tcMar>
              <w:top w:w="120" w:type="dxa"/>
              <w:start w:w="140" w:type="dxa"/>
              <w:bottom w:w="120" w:type="dxa"/>
              <w:end w:w="140" w:type="dxa"/>
            </w:tcMar>
            <w:vAlign w:val="center"/>
            <w:shd w:fill="18364B"/>
          </w:tcPr>
          <w:p>
            <w:pPr>
              <w:jc w:val="left"/>
            </w:pPr>
            <w:r>
              <w:rPr>
                <w:b/>
                <w:color w:val="FFFFFF"/>
                <w:sz w:val="19"/>
              </w:rPr>
              <w:t>Condition</w:t>
            </w:r>
          </w:p>
        </w:tc>
        <w:tc>
          <w:tcPr>
            <w:tcW w:type="dxa" w:w="1512"/>
            <w:tcMar>
              <w:top w:w="120" w:type="dxa"/>
              <w:start w:w="140" w:type="dxa"/>
              <w:bottom w:w="120" w:type="dxa"/>
              <w:end w:w="140" w:type="dxa"/>
            </w:tcMar>
            <w:vAlign w:val="center"/>
            <w:shd w:fill="18364B"/>
          </w:tcPr>
          <w:p>
            <w:pPr>
              <w:jc w:val="left"/>
            </w:pPr>
            <w:r>
              <w:rPr>
                <w:b/>
                <w:color w:val="FFFFFF"/>
                <w:sz w:val="19"/>
              </w:rPr>
              <w:t>Severity</w:t>
            </w:r>
          </w:p>
        </w:tc>
        <w:tc>
          <w:tcPr>
            <w:tcW w:type="dxa" w:w="4320"/>
            <w:tcMar>
              <w:top w:w="120" w:type="dxa"/>
              <w:start w:w="140" w:type="dxa"/>
              <w:bottom w:w="120" w:type="dxa"/>
              <w:end w:w="140" w:type="dxa"/>
            </w:tcMar>
            <w:vAlign w:val="center"/>
            <w:shd w:fill="18364B"/>
          </w:tcPr>
          <w:p>
            <w:pPr>
              <w:jc w:val="left"/>
            </w:pPr>
            <w:r>
              <w:rPr>
                <w:b/>
                <w:color w:val="FFFFFF"/>
                <w:sz w:val="19"/>
              </w:rPr>
              <w:t>Response</w:t>
            </w:r>
          </w:p>
        </w:tc>
      </w:tr>
      <w:tr>
        <w:trPr>
          <w:cantSplit/>
        </w:trPr>
        <w:tc>
          <w:tcPr>
            <w:tcW w:type="dxa" w:w="4032"/>
            <w:tcMar>
              <w:top w:w="120" w:type="dxa"/>
              <w:start w:w="140" w:type="dxa"/>
              <w:bottom w:w="120" w:type="dxa"/>
              <w:end w:w="140" w:type="dxa"/>
            </w:tcMar>
            <w:vAlign w:val="center"/>
            <w:shd w:fill="FFFFFF"/>
          </w:tcPr>
          <w:p>
            <w:pPr>
              <w:spacing w:after="0" w:line="240" w:lineRule="auto"/>
            </w:pPr>
            <w:r>
              <w:rPr>
                <w:sz w:val="18"/>
              </w:rPr>
              <w:t>No COMPLETE license snapshot within the expected daily window</w:t>
            </w:r>
          </w:p>
        </w:tc>
        <w:tc>
          <w:tcPr>
            <w:tcW w:type="dxa" w:w="1512"/>
            <w:tcMar>
              <w:top w:w="120" w:type="dxa"/>
              <w:start w:w="140" w:type="dxa"/>
              <w:bottom w:w="120" w:type="dxa"/>
              <w:end w:w="140" w:type="dxa"/>
            </w:tcMar>
            <w:vAlign w:val="center"/>
            <w:shd w:fill="FFFFFF"/>
          </w:tcPr>
          <w:p>
            <w:pPr>
              <w:spacing w:after="0" w:line="240" w:lineRule="auto"/>
            </w:pPr>
            <w:r>
              <w:rPr>
                <w:sz w:val="18"/>
              </w:rPr>
              <w:t>High</w:t>
            </w:r>
          </w:p>
        </w:tc>
        <w:tc>
          <w:tcPr>
            <w:tcW w:type="dxa" w:w="4320"/>
            <w:tcMar>
              <w:top w:w="120" w:type="dxa"/>
              <w:start w:w="140" w:type="dxa"/>
              <w:bottom w:w="120" w:type="dxa"/>
              <w:end w:w="140" w:type="dxa"/>
            </w:tcMar>
            <w:vAlign w:val="center"/>
            <w:shd w:fill="FFFFFF"/>
          </w:tcPr>
          <w:p>
            <w:pPr>
              <w:spacing w:after="0" w:line="240" w:lineRule="auto"/>
            </w:pPr>
            <w:r>
              <w:rPr>
                <w:sz w:val="18"/>
              </w:rPr>
              <w:t>Check Cloud Scheduler, Cloud Run execution, GitHub authentication, and run status</w:t>
            </w:r>
          </w:p>
        </w:tc>
      </w:tr>
      <w:tr>
        <w:trPr>
          <w:cantSplit/>
        </w:trPr>
        <w:tc>
          <w:tcPr>
            <w:tcW w:type="dxa" w:w="4032"/>
            <w:tcMar>
              <w:top w:w="120" w:type="dxa"/>
              <w:start w:w="140" w:type="dxa"/>
              <w:bottom w:w="120" w:type="dxa"/>
              <w:end w:w="140" w:type="dxa"/>
            </w:tcMar>
            <w:vAlign w:val="center"/>
            <w:shd w:fill="EAF2F8"/>
          </w:tcPr>
          <w:p>
            <w:pPr>
              <w:spacing w:after="0" w:line="240" w:lineRule="auto"/>
            </w:pPr>
            <w:r>
              <w:rPr>
                <w:sz w:val="18"/>
              </w:rPr>
              <w:t>Collector status FAILED or REJECTED</w:t>
            </w:r>
          </w:p>
        </w:tc>
        <w:tc>
          <w:tcPr>
            <w:tcW w:type="dxa" w:w="1512"/>
            <w:tcMar>
              <w:top w:w="120" w:type="dxa"/>
              <w:start w:w="140" w:type="dxa"/>
              <w:bottom w:w="120" w:type="dxa"/>
              <w:end w:w="140" w:type="dxa"/>
            </w:tcMar>
            <w:vAlign w:val="center"/>
            <w:shd w:fill="EAF2F8"/>
          </w:tcPr>
          <w:p>
            <w:pPr>
              <w:spacing w:after="0" w:line="240" w:lineRule="auto"/>
            </w:pPr>
            <w:r>
              <w:rPr>
                <w:sz w:val="18"/>
              </w:rPr>
              <w:t>High</w:t>
            </w:r>
          </w:p>
        </w:tc>
        <w:tc>
          <w:tcPr>
            <w:tcW w:type="dxa" w:w="4320"/>
            <w:tcMar>
              <w:top w:w="120" w:type="dxa"/>
              <w:start w:w="140" w:type="dxa"/>
              <w:bottom w:w="120" w:type="dxa"/>
              <w:end w:w="140" w:type="dxa"/>
            </w:tcMar>
            <w:vAlign w:val="center"/>
            <w:shd w:fill="EAF2F8"/>
          </w:tcPr>
          <w:p>
            <w:pPr>
              <w:spacing w:after="0" w:line="240" w:lineRule="auto"/>
            </w:pPr>
            <w:r>
              <w:rPr>
                <w:sz w:val="18"/>
              </w:rPr>
              <w:t>Use failure_stage and error_message, correct the issue, and launch a new execution</w:t>
            </w:r>
          </w:p>
        </w:tc>
      </w:tr>
      <w:tr>
        <w:trPr>
          <w:cantSplit/>
        </w:trPr>
        <w:tc>
          <w:tcPr>
            <w:tcW w:type="dxa" w:w="4032"/>
            <w:tcMar>
              <w:top w:w="120" w:type="dxa"/>
              <w:start w:w="140" w:type="dxa"/>
              <w:bottom w:w="120" w:type="dxa"/>
              <w:end w:w="140" w:type="dxa"/>
            </w:tcMar>
            <w:vAlign w:val="center"/>
            <w:shd w:fill="FFFFFF"/>
          </w:tcPr>
          <w:p>
            <w:pPr>
              <w:spacing w:after="0" w:line="240" w:lineRule="auto"/>
            </w:pPr>
            <w:r>
              <w:rPr>
                <w:sz w:val="18"/>
              </w:rPr>
              <w:t>Collector status REVIEW_REQUIRED</w:t>
            </w:r>
          </w:p>
        </w:tc>
        <w:tc>
          <w:tcPr>
            <w:tcW w:type="dxa" w:w="1512"/>
            <w:tcMar>
              <w:top w:w="120" w:type="dxa"/>
              <w:start w:w="140" w:type="dxa"/>
              <w:bottom w:w="120" w:type="dxa"/>
              <w:end w:w="140" w:type="dxa"/>
            </w:tcMar>
            <w:vAlign w:val="center"/>
            <w:shd w:fill="FFFFFF"/>
          </w:tcPr>
          <w:p>
            <w:pPr>
              <w:spacing w:after="0" w:line="240" w:lineRule="auto"/>
            </w:pPr>
            <w:r>
              <w:rPr>
                <w:sz w:val="18"/>
              </w:rPr>
              <w:t>Medium</w:t>
            </w:r>
          </w:p>
        </w:tc>
        <w:tc>
          <w:tcPr>
            <w:tcW w:type="dxa" w:w="4320"/>
            <w:tcMar>
              <w:top w:w="120" w:type="dxa"/>
              <w:start w:w="140" w:type="dxa"/>
              <w:bottom w:w="120" w:type="dxa"/>
              <w:end w:w="140" w:type="dxa"/>
            </w:tcMar>
            <w:vAlign w:val="center"/>
            <w:shd w:fill="FFFFFF"/>
          </w:tcPr>
          <w:p>
            <w:pPr>
              <w:spacing w:after="0" w:line="240" w:lineRule="auto"/>
            </w:pPr>
            <w:r>
              <w:rPr>
                <w:sz w:val="18"/>
              </w:rPr>
              <w:t>Review duplicates, unresolved identities, API total mismatch, and count delta before promotion or rerun</w:t>
            </w:r>
          </w:p>
        </w:tc>
      </w:tr>
      <w:tr>
        <w:trPr>
          <w:cantSplit/>
        </w:trPr>
        <w:tc>
          <w:tcPr>
            <w:tcW w:type="dxa" w:w="4032"/>
            <w:tcMar>
              <w:top w:w="120" w:type="dxa"/>
              <w:start w:w="140" w:type="dxa"/>
              <w:bottom w:w="120" w:type="dxa"/>
              <w:end w:w="140" w:type="dxa"/>
            </w:tcMar>
            <w:vAlign w:val="center"/>
            <w:shd w:fill="EAF2F8"/>
          </w:tcPr>
          <w:p>
            <w:pPr>
              <w:spacing w:after="0" w:line="240" w:lineRule="auto"/>
            </w:pPr>
            <w:r>
              <w:rPr>
                <w:sz w:val="18"/>
              </w:rPr>
              <w:t>GitHub API returns 403</w:t>
            </w:r>
          </w:p>
        </w:tc>
        <w:tc>
          <w:tcPr>
            <w:tcW w:type="dxa" w:w="1512"/>
            <w:tcMar>
              <w:top w:w="120" w:type="dxa"/>
              <w:start w:w="140" w:type="dxa"/>
              <w:bottom w:w="120" w:type="dxa"/>
              <w:end w:w="140" w:type="dxa"/>
            </w:tcMar>
            <w:vAlign w:val="center"/>
            <w:shd w:fill="EAF2F8"/>
          </w:tcPr>
          <w:p>
            <w:pPr>
              <w:spacing w:after="0" w:line="240" w:lineRule="auto"/>
            </w:pPr>
            <w:r>
              <w:rPr>
                <w:sz w:val="18"/>
              </w:rPr>
              <w:t>High</w:t>
            </w:r>
          </w:p>
        </w:tc>
        <w:tc>
          <w:tcPr>
            <w:tcW w:type="dxa" w:w="4320"/>
            <w:tcMar>
              <w:top w:w="120" w:type="dxa"/>
              <w:start w:w="140" w:type="dxa"/>
              <w:bottom w:w="120" w:type="dxa"/>
              <w:end w:w="140" w:type="dxa"/>
            </w:tcMar>
            <w:vAlign w:val="center"/>
            <w:shd w:fill="EAF2F8"/>
          </w:tcPr>
          <w:p>
            <w:pPr>
              <w:spacing w:after="0" w:line="240" w:lineRule="auto"/>
            </w:pPr>
            <w:r>
              <w:rPr>
                <w:sz w:val="18"/>
              </w:rPr>
              <w:t>Check enterprise installation, Enterprise billing read-only, installation approval, API host, and accepted-permissions header</w:t>
            </w:r>
          </w:p>
        </w:tc>
      </w:tr>
      <w:tr>
        <w:trPr>
          <w:cantSplit/>
        </w:trPr>
        <w:tc>
          <w:tcPr>
            <w:tcW w:type="dxa" w:w="4032"/>
            <w:tcMar>
              <w:top w:w="120" w:type="dxa"/>
              <w:start w:w="140" w:type="dxa"/>
              <w:bottom w:w="120" w:type="dxa"/>
              <w:end w:w="140" w:type="dxa"/>
            </w:tcMar>
            <w:vAlign w:val="center"/>
            <w:shd w:fill="FFFFFF"/>
          </w:tcPr>
          <w:p>
            <w:pPr>
              <w:spacing w:after="0" w:line="240" w:lineRule="auto"/>
            </w:pPr>
            <w:r>
              <w:rPr>
                <w:sz w:val="18"/>
              </w:rPr>
              <w:t>GitHub API returns 429 or repeated 5xx</w:t>
            </w:r>
          </w:p>
        </w:tc>
        <w:tc>
          <w:tcPr>
            <w:tcW w:type="dxa" w:w="1512"/>
            <w:tcMar>
              <w:top w:w="120" w:type="dxa"/>
              <w:start w:w="140" w:type="dxa"/>
              <w:bottom w:w="120" w:type="dxa"/>
              <w:end w:w="140" w:type="dxa"/>
            </w:tcMar>
            <w:vAlign w:val="center"/>
            <w:shd w:fill="FFFFFF"/>
          </w:tcPr>
          <w:p>
            <w:pPr>
              <w:spacing w:after="0" w:line="240" w:lineRule="auto"/>
            </w:pPr>
            <w:r>
              <w:rPr>
                <w:sz w:val="18"/>
              </w:rPr>
              <w:t>Medium</w:t>
            </w:r>
          </w:p>
        </w:tc>
        <w:tc>
          <w:tcPr>
            <w:tcW w:type="dxa" w:w="4320"/>
            <w:tcMar>
              <w:top w:w="120" w:type="dxa"/>
              <w:start w:w="140" w:type="dxa"/>
              <w:bottom w:w="120" w:type="dxa"/>
              <w:end w:w="140" w:type="dxa"/>
            </w:tcMar>
            <w:vAlign w:val="center"/>
            <w:shd w:fill="FFFFFF"/>
          </w:tcPr>
          <w:p>
            <w:pPr>
              <w:spacing w:after="0" w:line="240" w:lineRule="auto"/>
            </w:pPr>
            <w:r>
              <w:rPr>
                <w:sz w:val="18"/>
              </w:rPr>
              <w:t>Review rate-limit headers, proxy behavior, retries, and collection duration</w:t>
            </w:r>
          </w:p>
        </w:tc>
      </w:tr>
      <w:tr>
        <w:trPr>
          <w:cantSplit/>
        </w:trPr>
        <w:tc>
          <w:tcPr>
            <w:tcW w:type="dxa" w:w="4032"/>
            <w:tcMar>
              <w:top w:w="120" w:type="dxa"/>
              <w:start w:w="140" w:type="dxa"/>
              <w:bottom w:w="120" w:type="dxa"/>
              <w:end w:w="140" w:type="dxa"/>
            </w:tcMar>
            <w:vAlign w:val="center"/>
            <w:shd w:fill="EAF2F8"/>
          </w:tcPr>
          <w:p>
            <w:pPr>
              <w:spacing w:after="0" w:line="240" w:lineRule="auto"/>
            </w:pPr>
            <w:r>
              <w:rPr>
                <w:sz w:val="18"/>
              </w:rPr>
              <w:t>Audit coverage or freshness is insufficient</w:t>
            </w:r>
          </w:p>
        </w:tc>
        <w:tc>
          <w:tcPr>
            <w:tcW w:type="dxa" w:w="1512"/>
            <w:tcMar>
              <w:top w:w="120" w:type="dxa"/>
              <w:start w:w="140" w:type="dxa"/>
              <w:bottom w:w="120" w:type="dxa"/>
              <w:end w:w="140" w:type="dxa"/>
            </w:tcMar>
            <w:vAlign w:val="center"/>
            <w:shd w:fill="EAF2F8"/>
          </w:tcPr>
          <w:p>
            <w:pPr>
              <w:spacing w:after="0" w:line="240" w:lineRule="auto"/>
            </w:pPr>
            <w:r>
              <w:rPr>
                <w:sz w:val="18"/>
              </w:rPr>
              <w:t>High for 90-day decisions</w:t>
            </w:r>
          </w:p>
        </w:tc>
        <w:tc>
          <w:tcPr>
            <w:tcW w:type="dxa" w:w="4320"/>
            <w:tcMar>
              <w:top w:w="120" w:type="dxa"/>
              <w:start w:w="140" w:type="dxa"/>
              <w:bottom w:w="120" w:type="dxa"/>
              <w:end w:w="140" w:type="dxa"/>
            </w:tcMar>
            <w:vAlign w:val="center"/>
            <w:shd w:fill="EAF2F8"/>
          </w:tcPr>
          <w:p>
            <w:pPr>
              <w:spacing w:after="0" w:line="240" w:lineRule="auto"/>
            </w:pPr>
            <w:r>
              <w:rPr>
                <w:sz w:val="18"/>
              </w:rPr>
              <w:t>Keep users out of confirmed-candidate totals until evidence is sufficient</w:t>
            </w:r>
          </w:p>
        </w:tc>
      </w:tr>
      <w:tr>
        <w:trPr>
          <w:cantSplit/>
        </w:trPr>
        <w:tc>
          <w:tcPr>
            <w:tcW w:type="dxa" w:w="4032"/>
            <w:tcMar>
              <w:top w:w="120" w:type="dxa"/>
              <w:start w:w="140" w:type="dxa"/>
              <w:bottom w:w="120" w:type="dxa"/>
              <w:end w:w="140" w:type="dxa"/>
            </w:tcMar>
            <w:vAlign w:val="center"/>
            <w:shd w:fill="FFFFFF"/>
          </w:tcPr>
          <w:p>
            <w:pPr>
              <w:spacing w:after="0" w:line="240" w:lineRule="auto"/>
            </w:pPr>
            <w:r>
              <w:rPr>
                <w:sz w:val="18"/>
              </w:rPr>
              <w:t>Directory membership checks fail</w:t>
            </w:r>
          </w:p>
        </w:tc>
        <w:tc>
          <w:tcPr>
            <w:tcW w:type="dxa" w:w="1512"/>
            <w:tcMar>
              <w:top w:w="120" w:type="dxa"/>
              <w:start w:w="140" w:type="dxa"/>
              <w:bottom w:w="120" w:type="dxa"/>
              <w:end w:w="140" w:type="dxa"/>
            </w:tcMar>
            <w:vAlign w:val="center"/>
            <w:shd w:fill="FFFFFF"/>
          </w:tcPr>
          <w:p>
            <w:pPr>
              <w:spacing w:after="0" w:line="240" w:lineRule="auto"/>
            </w:pPr>
            <w:r>
              <w:rPr>
                <w:sz w:val="18"/>
              </w:rPr>
              <w:t>Medium</w:t>
            </w:r>
          </w:p>
        </w:tc>
        <w:tc>
          <w:tcPr>
            <w:tcW w:type="dxa" w:w="4320"/>
            <w:tcMar>
              <w:top w:w="120" w:type="dxa"/>
              <w:start w:w="140" w:type="dxa"/>
              <w:bottom w:w="120" w:type="dxa"/>
              <w:end w:w="140" w:type="dxa"/>
            </w:tcMar>
            <w:vAlign w:val="center"/>
            <w:shd w:fill="FFFFFF"/>
          </w:tcPr>
          <w:p>
            <w:pPr>
              <w:spacing w:after="0" w:line="240" w:lineRule="auto"/>
            </w:pPr>
            <w:r>
              <w:rPr>
                <w:sz w:val="18"/>
              </w:rPr>
              <w:t>Set LDAP_CHECK_FAILED and do not produce a removal action</w:t>
            </w:r>
          </w:p>
        </w:tc>
      </w:tr>
    </w:tbl>
    <w:p>
      <w:pPr>
        <w:spacing w:after="20"/>
      </w:pPr>
    </w:p>
    <w:p>
      <w:pPr>
        <w:pStyle w:val="Heading1"/>
        <w:keepNext/>
      </w:pPr>
      <w:r>
        <w:t>Implementation sequence</w:t>
      </w:r>
    </w:p>
    <w:p>
      <w:pPr>
        <w:keepLines/>
        <w:spacing w:after="40"/>
        <w:ind w:left="432" w:hanging="432"/>
      </w:pPr>
      <w:r>
        <w:t>1.  Deploy the collector in validate mode with Enterprise billing read-only and confirm complete pagination.</w:t>
      </w:r>
    </w:p>
    <w:p>
      <w:pPr>
        <w:keepLines/>
        <w:spacing w:after="40"/>
        <w:ind w:left="432" w:hanging="432"/>
      </w:pPr>
      <w:r>
        <w:t>2.  Execute one full snapshot, reconcile source and BigQuery counts, and confirm github_license_users_current changes only after COMPLETE.</w:t>
      </w:r>
    </w:p>
    <w:p>
      <w:pPr>
        <w:keepLines/>
        <w:spacing w:after="40"/>
        <w:ind w:left="432" w:hanging="432"/>
      </w:pPr>
      <w:r>
        <w:t>3.  Create the incremental github_user_activity_summary process from github_audit_events_normalized.</w:t>
      </w:r>
    </w:p>
    <w:p>
      <w:pPr>
        <w:keepLines/>
        <w:spacing w:after="40"/>
        <w:ind w:left="432" w:hanging="432"/>
      </w:pPr>
      <w:r>
        <w:t>4.  Load the staff and UBR snapshot and persist SCIM or LDAP membership results rather than checking them only in memory.</w:t>
      </w:r>
    </w:p>
    <w:p>
      <w:pPr>
        <w:keepLines/>
        <w:spacing w:after="40"/>
        <w:ind w:left="432" w:hanging="432"/>
      </w:pPr>
      <w:r>
        <w:t>5.  Create github_license_dormancy_user_status and github_license_removal_candidate_actions through Terraform.</w:t>
      </w:r>
    </w:p>
    <w:p>
      <w:pPr>
        <w:keepLines/>
        <w:spacing w:after="40"/>
        <w:ind w:left="432" w:hanging="432"/>
      </w:pPr>
      <w:r>
        <w:t>6.  Compare the 30, 45, 60, and 90-day outputs with the legacy script and review every active-to-dormant mismatch.</w:t>
      </w:r>
    </w:p>
    <w:p>
      <w:pPr>
        <w:keepLines/>
        <w:spacing w:after="40"/>
        <w:ind w:left="432" w:hanging="432"/>
      </w:pPr>
      <w:r>
        <w:t>7.  Build and validate the Grafana dashboard, then add the controlled CSV export and operational alerts.</w:t>
      </w:r>
    </w:p>
    <w:p>
      <w:pPr>
        <w:pStyle w:val="Heading1"/>
        <w:keepNext/>
      </w:pPr>
      <w:r>
        <w:t>Acceptance criteria</w:t>
      </w:r>
    </w:p>
    <w:p>
      <w:pPr>
        <w:pStyle w:val="ListBullet"/>
      </w:pPr>
      <w:r>
        <w:t>Every current consumed license appears once in the latest complete snapshot or has a documented identity-resolution exception.</w:t>
      </w:r>
    </w:p>
    <w:p>
      <w:pPr>
        <w:pStyle w:val="ListBullet"/>
      </w:pPr>
      <w:r>
        <w:t>A failed or suspicious run does not change the current licensed-user view.</w:t>
      </w:r>
    </w:p>
    <w:p>
      <w:pPr>
        <w:pStyle w:val="ListBullet"/>
      </w:pPr>
      <w:r>
        <w:t>A Cloud Run retry cannot overwrite archive evidence or append duplicate rows for the same execution.</w:t>
      </w:r>
    </w:p>
    <w:p>
      <w:pPr>
        <w:pStyle w:val="ListBullet"/>
      </w:pPr>
      <w:r>
        <w:t>The dashboard does not query github_audit_events_normalized directly for user-level aggregation.</w:t>
      </w:r>
    </w:p>
    <w:p>
      <w:pPr>
        <w:pStyle w:val="ListBullet"/>
      </w:pPr>
      <w:r>
        <w:t>Every candidate shows its applicable policy, source timestamps, inactivity days, eligibility result, and exclusion reason.</w:t>
      </w:r>
    </w:p>
    <w:p>
      <w:pPr>
        <w:pStyle w:val="ListBullet"/>
      </w:pPr>
      <w:r>
        <w:t>Service accounts, directory failures, missing staff matches, privileged roles, and insufficient coverage are excluded or clearly separated.</w:t>
      </w:r>
    </w:p>
    <w:p>
      <w:pPr>
        <w:pStyle w:val="ListBullet"/>
      </w:pPr>
      <w:r>
        <w:t>No automated removal occurs until the legacy comparison, stakeholder approval, notification, and grace-period process are complete.</w:t>
      </w:r>
    </w:p>
    <w:p>
      <w:pPr>
        <w:pStyle w:val="Heading1"/>
        <w:keepNext/>
      </w:pPr>
      <w:r>
        <w:t>References</w:t>
      </w:r>
    </w:p>
    <w:p>
      <w:pPr>
        <w:pStyle w:val="ListBullet"/>
      </w:pPr>
      <w:hyperlink r:id="rId11">
        <w:r>
          <w:rPr>
            <w:color w:val="235789"/>
            <w:u w:val="single"/>
          </w:rPr>
          <w:t>GitHub REST API enterprise licensing</w:t>
        </w:r>
      </w:hyperlink>
    </w:p>
    <w:p>
      <w:pPr>
        <w:pStyle w:val="ListBullet"/>
      </w:pPr>
      <w:hyperlink r:id="rId12">
        <w:r>
          <w:rPr>
            <w:color w:val="235789"/>
            <w:u w:val="single"/>
          </w:rPr>
          <w:t>GitHub Apps enterprise billing permission release</w:t>
        </w:r>
      </w:hyperlink>
    </w:p>
    <w:p>
      <w:pPr>
        <w:pStyle w:val="ListBullet"/>
      </w:pPr>
      <w:hyperlink r:id="rId13">
        <w:r>
          <w:rPr>
            <w:color w:val="235789"/>
            <w:u w:val="single"/>
          </w:rPr>
          <w:t>GitHub App installation access tokens</w:t>
        </w:r>
      </w:hyperlink>
    </w:p>
    <w:p>
      <w:pPr>
        <w:pStyle w:val="ListBullet"/>
      </w:pPr>
      <w:hyperlink r:id="rId14">
        <w:r>
          <w:rPr>
            <w:color w:val="235789"/>
            <w:u w:val="single"/>
          </w:rPr>
          <w:t>Cloud Run Jobs</w:t>
        </w:r>
      </w:hyperlink>
    </w:p>
    <w:p>
      <w:pPr>
        <w:pStyle w:val="ListBullet"/>
      </w:pPr>
      <w:hyperlink r:id="rId15">
        <w:r>
          <w:rPr>
            <w:color w:val="235789"/>
            <w:u w:val="single"/>
          </w:rPr>
          <w:t>Schedule Cloud Run Jobs</w:t>
        </w:r>
      </w:hyperlink>
    </w:p>
    <w:p>
      <w:pPr>
        <w:pStyle w:val="ListBullet"/>
      </w:pPr>
      <w:hyperlink r:id="rId16">
        <w:r>
          <w:rPr>
            <w:color w:val="235789"/>
            <w:u w:val="single"/>
          </w:rPr>
          <w:t>Cloud Run Job secrets</w:t>
        </w:r>
      </w:hyperlink>
    </w:p>
    <w:p>
      <w:pPr>
        <w:pStyle w:val="ListBullet"/>
      </w:pPr>
      <w:hyperlink r:id="rId17">
        <w:r>
          <w:rPr>
            <w:color w:val="235789"/>
            <w:u w:val="single"/>
          </w:rPr>
          <w:t>Load newline-delimited JSON from Cloud Storage</w:t>
        </w:r>
      </w:hyperlink>
    </w:p>
    <w:p>
      <w:pPr>
        <w:pStyle w:val="ListBullet"/>
      </w:pPr>
      <w:hyperlink r:id="rId18">
        <w:r>
          <w:rPr>
            <w:color w:val="235789"/>
            <w:u w:val="single"/>
          </w:rPr>
          <w:t>BigQuery clustered tables</w:t>
        </w:r>
      </w:hyperlink>
    </w:p>
    <w:sectPr w:rsidR="00FC693F" w:rsidRPr="0006063C" w:rsidSect="00034616">
      <w:footerReference w:type="default" r:id="rId9"/>
      <w:pgSz w:w="12240" w:h="15840"/>
      <w:pgMar w:top="1037"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44444"/>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cs.github.com/en/enterprise-cloud@latest/rest/enterprise-admin/licensing?apiVersion=2026-03-10" TargetMode="External"/><Relationship Id="rId12" Type="http://schemas.openxmlformats.org/officeDocument/2006/relationships/hyperlink" Target="https://github.blog/changelog/2026-08-26-github-apps-can-now-access-enterprise-billing-data/" TargetMode="External"/><Relationship Id="rId13" Type="http://schemas.openxmlformats.org/officeDocument/2006/relationships/hyperlink" Target="https://docs.github.com/en/apps/creating-github-apps/authenticating-with-a-github-app/generating-an-installation-access-token-for-a-github-app" TargetMode="External"/><Relationship Id="rId14" Type="http://schemas.openxmlformats.org/officeDocument/2006/relationships/hyperlink" Target="https://cloud.google.com/run/docs/create-jobs" TargetMode="External"/><Relationship Id="rId15" Type="http://schemas.openxmlformats.org/officeDocument/2006/relationships/hyperlink" Target="https://cloud.google.com/run/docs/execute/jobs-on-schedule" TargetMode="External"/><Relationship Id="rId16" Type="http://schemas.openxmlformats.org/officeDocument/2006/relationships/hyperlink" Target="https://cloud.google.com/run/docs/configuring/jobs/secrets" TargetMode="External"/><Relationship Id="rId17" Type="http://schemas.openxmlformats.org/officeDocument/2006/relationships/hyperlink" Target="https://cloud.google.com/bigquery/docs/loading-data-cloud-storage-json" TargetMode="External"/><Relationship Id="rId18" Type="http://schemas.openxmlformats.org/officeDocument/2006/relationships/hyperlink" Target="https://cloud.google.com/bigquery/docs/clustered-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License Utilization and Dormancy Architecture</dc:title>
  <dc:subject>Cloud Run GitHub App BigQuery and Grafana design</dc:subject>
  <dc:creator>GitHub Onboarding and Runners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