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explain this</w:t>
      </w:r>
    </w:p>
    <w:p>
      <w:pPr>
        <w:pStyle w:val="Subtitle"/>
      </w:pPr>
      <w:r>
        <w:t>Generated: 2026-09-28 03:35:27</w:t>
      </w:r>
    </w:p>
    <w:p>
      <w:pPr>
        <w:pStyle w:val="Heading2"/>
      </w:pPr>
      <w:r>
        <w:t>Content</w:t>
      </w:r>
    </w:p>
    <w:p>
      <w:r>
        <w:t>The extracted text outlines several key concepts and their applications, along with their respective impacts:</w:t>
      </w:r>
    </w:p>
    <w:p>
      <w:r>
        <w:t>1. **LLM Routing**: This concept involves using preference data to train large language models (LLMs) for more accurate and efficient routing. The application is confidence-gated cascade routing and model selection in multi-model agents, leading to higher accuracy, lower latency, and optimal model utilization.</w:t>
      </w:r>
    </w:p>
    <w:p>
      <w:r>
        <w:t>2. **Dense Embeddings**: By employing dense embeddings instead of traditional lexical search methods like BM25, this approach significantly improves passage retrieval. It enhances recall, provides better context coverage, and results in more grounded answers. The diagram illustrates the flow from a user query through a Dense Retriever to retrieving top-k passages.</w:t>
      </w:r>
    </w:p>
    <w:p>
      <w:r>
        <w:t>3. **Zero Trust Endpoint Isolation**: This security model ensures that data cannot be exfiltrated outside local memory contexts. It is ideal for secure, offline, isolated enterprise deployment architectures, ensuring data confidentiality, compliance, and sovereign AI operations as per NIST Special Publication 800-207 on Zero Trust Architecture (ZTA).</w:t>
      </w:r>
    </w:p>
    <w:p>
      <w:r>
        <w:t>4. **Native ESM Load Dynamics**: This concept leverages HTTP module requests combined with on-demand transpilation in frontend architecture using Vite for fast development and optimized builds. It results in faster cold starts, improved developer experience (DX), and modular scalability as per the ECMAScript Language Spec (ES6 Modules) and Vite Architecture Spec.</w:t>
      </w:r>
    </w:p>
    <w:p>
      <w:r>
        <w:t>Each of these concepts is supported by diagrams that visually represent their processes or structures, aiding in understanding how they function within their respective domains.</w:t>
      </w:r>
    </w:p>
    <w:p>
      <w:pPr>
        <w:pStyle w:val="Heading2"/>
      </w:pPr>
      <w:r>
        <w:t>Sources</w:t>
      </w:r>
    </w:p>
    <w:p>
      <w:pPr>
        <w:pStyle w:val="ListBullet"/>
      </w:pPr>
      <w:r>
        <w:t>Extract text and details from image: 96c0cac2-b705-4f4c-ab9c-142b3c236dd4.jpeg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