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explain this</w:t>
      </w:r>
    </w:p>
    <w:p>
      <w:pPr>
        <w:pStyle w:val="Subtitle"/>
      </w:pPr>
      <w:r>
        <w:t>Generated: 2026-09-28 03:57:32</w:t>
      </w:r>
    </w:p>
    <w:p>
      <w:pPr>
        <w:pStyle w:val="Heading2"/>
      </w:pPr>
      <w:r>
        <w:t>Content</w:t>
      </w:r>
    </w:p>
    <w:p>
      <w:r>
        <w:t>The provided image is a confusion matrix for a classification model, which displays how well the model distinguishes between different classes—specifically "U" (Unclassified), "MI" (Mildly Infected), "HI" (Highly Infected), and "FI" (Fully Infected). Each cell in the matrix indicates the count of instances where an observation was correctly classified (matching true and predicted labels) or misclassified.</w:t>
      </w:r>
    </w:p>
    <w:p>
      <w:r>
        <w:t>For example, under the "True Label: U," 1086 instances were correctly predicted as "U," while no instances were incorrectly labeled as "MI," "HI," or "FI." Similarly, for "True Label: MI," all 1022 instances were accurately predicted as "MI," with zero misclassifications into other categories. Under "True Label: HI," the model correctly identified 1049 instances as "HI," again with no misclassifications. Lastly, for "True Label: FI," 1034 instances were correctly classified as "FI."</w:t>
      </w:r>
    </w:p>
    <w:p>
      <w:r>
        <w:t>The diagonal of the matrix highlights correct classifications (where true and predicted labels match), while all other cells indicate where the model failed to accurately classify an instance. The color gradient on the right side visualizes these counts, with darker shades representing higher numbers of misclassifications or accurate predictions.</w:t>
      </w:r>
    </w:p>
    <w:p>
      <w:r>
        <w:t>Overall, this confusion matrix serves as a diagnostic tool to evaluate the performance of the classification model by revealing which classes are most susceptible to being confused with one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