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make the flowchart from it</w:t>
      </w:r>
    </w:p>
    <w:p>
      <w:pPr>
        <w:pStyle w:val="Subtitle"/>
      </w:pPr>
      <w:r>
        <w:t>Generated: 2026-09-28 12:17:42</w:t>
      </w:r>
    </w:p>
    <w:p>
      <w:pPr>
        <w:pStyle w:val="Heading2"/>
      </w:pPr>
      <w:r>
        <w:t>Content</w:t>
      </w:r>
    </w:p>
    <w:p>
      <w:r>
        <w:t>The text provided discusses deep learning as a subset of machine learning that employs multilayered neural networks for tasks such as classification, regression, and representation learning. It explains that the term “deep” signifies the use of numerous layers (from three to hundreds or thousands) within these networks. Common architectures mentioned include fully connected networks, deep belief networks, recurrent neural networks, convolutional neural networks, generative adversarial networks, transformers, and neural radiance fields. These have applications across various domains like computer vision, speech recognition, natural language processing, medical imaging, and more.</w:t>
      </w:r>
    </w:p>
    <w:p>
      <w:r>
        <w:t>However, the text does not contain any diagrams or visual representations that could be used to create a flowchart. Therefore, based on the information given, it is not possible to generate a flowchart from this content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