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MRPL: solve this question</w:t>
      </w:r>
    </w:p>
    <w:p>
      <w:pPr>
        <w:pStyle w:val="Subtitle"/>
      </w:pPr>
      <w:r>
        <w:t>Generated: 2026-09-28 12:41:32</w:t>
      </w:r>
    </w:p>
    <w:p>
      <w:pPr>
        <w:pStyle w:val="Heading2"/>
      </w:pPr>
      <w:r>
        <w:t>Content</w:t>
      </w:r>
    </w:p>
    <w:p>
      <w:r>
        <w:t>The document dc1e30db-4e96-4992-bed8-c71b0a7d279f.pdf does not contain any passages that directly address or solve the question “solve this question.” Therefore, based on the current information gathered, there is no relevant content to answer the request. If additional context or a more specific query is provided, a tailored response could be generated.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