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8"/>
          <w:szCs w:val="48"/>
        </w:rPr>
        <w:t xml:space="preserve">TransitOps</w:t>
      </w:r>
    </w:p>
    <w:p>
      <w:pPr>
        <w:spacing w:after="40"/>
      </w:pPr>
      <w:r>
        <w:rPr>
          <w:b/>
          <w:bCs/>
          <w:color w:val="0F7A6B"/>
          <w:sz w:val="26"/>
          <w:szCs w:val="26"/>
        </w:rPr>
        <w:t xml:space="preserve">Smart Transport Operations Platform</w:t>
      </w:r>
    </w:p>
    <w:p>
      <w:pPr>
        <w:spacing w:after="400"/>
      </w:pPr>
      <w:r>
        <w:rPr>
          <w:i/>
          <w:iCs/>
          <w:color w:val="6B7280"/>
          <w:sz w:val="22"/>
          <w:szCs w:val="22"/>
        </w:rPr>
        <w:t xml:space="preserve">Role-Based Task Breakdown — One Login, Four Roles</w:t>
      </w:r>
    </w:p>
    <w:p>
      <w:pPr>
        <w:pStyle w:val="Heading1"/>
        <w:pBdr>
          <w:bottom w:val="single" w:color="0F7A6B" w:sz="8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1. Platform Overview</w:t>
      </w:r>
    </w:p>
    <w:p>
      <w:pPr>
        <w:spacing w:after="120"/>
      </w:pPr>
      <w:r>
        <w:rPr>
          <w:sz w:val="21"/>
          <w:szCs w:val="21"/>
        </w:rPr>
        <w:t xml:space="preserve">TransitOps is a role-based access control (RBAC) system for managing a transport fleet: vehicles, drivers, trip dispatch, maintenance, fuel/expenses, and analytics. A single login routes each user into a scoped experience determined by their assigned role — so a Dispatcher never sees financial data, and a Financial Analyst never dispatches a trip.</w:t>
      </w:r>
    </w:p>
    <w:p>
      <w:pPr>
        <w:spacing w:after="120"/>
      </w:pPr>
      <w:r>
        <w:rPr>
          <w:sz w:val="21"/>
          <w:szCs w:val="21"/>
        </w:rPr>
        <w:t xml:space="preserve">There are four roles in the 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Fleet Manager — owns vehicles and their maintenance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Dispatcher — owns trip creation and the live operations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Safety Officer — owns driver records, licensing, and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Financial Analyst — owns fuel/expense tracking and reporting</w:t>
      </w:r>
    </w:p>
    <w:p>
      <w:pPr>
        <w:spacing w:after="120"/>
      </w:pPr>
      <w:r>
        <w:rPr>
          <w:sz w:val="21"/>
          <w:szCs w:val="21"/>
        </w:rPr>
        <w:t xml:space="preserve">The sections below explain each role one by one: what they can see, what they are responsible for doing, the step-by-step workflow they follow, and the business rules the system enforces on their behalf.</w:t>
      </w:r>
    </w:p>
    <w:p>
      <w:pPr>
        <w:pStyle w:val="Heading1"/>
        <w:pBdr>
          <w:bottom w:val="single" w:color="0F7A6B" w:sz="8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2. Role-Based Access Matrix</w:t>
      </w:r>
    </w:p>
    <w:p>
      <w:pPr>
        <w:spacing w:after="120"/>
      </w:pPr>
      <w:r>
        <w:rPr>
          <w:sz w:val="21"/>
          <w:szCs w:val="21"/>
        </w:rPr>
        <w:t xml:space="preserve">Access is scoped by role immediately after login. This table summarizes what each role can view versus fully manage across the platform's modules.</w:t>
      </w:r>
    </w:p>
    <w:p>
      <w:pPr>
        <w:spacing w:after="300" w:before="12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150"/>
        <w:gridCol w:w="950"/>
        <w:gridCol w:w="1150"/>
        <w:gridCol w:w="1250"/>
      </w:tblGrid>
      <w:tr>
        <w:trPr>
          <w:tblHeader/>
        </w:trPr>
        <w:tc>
          <w:tcPr>
            <w:tcW w:type="dxa" w:w="1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Fleet</w:t>
            </w:r>
          </w:p>
        </w:tc>
        <w:tc>
          <w:tcPr>
            <w:tcW w:type="dxa" w:w="11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Drivers</w:t>
            </w:r>
          </w:p>
        </w:tc>
        <w:tc>
          <w:tcPr>
            <w:tcW w:type="dxa" w:w="9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Trips</w:t>
            </w:r>
          </w:p>
        </w:tc>
        <w:tc>
          <w:tcPr>
            <w:tcW w:type="dxa" w:w="11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Fuel / Exp.</w:t>
            </w:r>
          </w:p>
        </w:tc>
        <w:tc>
          <w:tcPr>
            <w:tcW w:type="dxa" w:w="12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Fleet Manager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✓ Full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✓ Full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–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✓ Full</w:t>
            </w:r>
          </w:p>
        </w:tc>
      </w:tr>
      <w:tr>
        <w:tc>
          <w:tcPr>
            <w:tcW w:type="dxa" w:w="170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Dispatcher</w:t>
            </w:r>
          </w:p>
        </w:tc>
        <w:tc>
          <w:tcPr>
            <w:tcW w:type="dxa" w:w="100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View only</w:t>
            </w:r>
          </w:p>
        </w:tc>
        <w:tc>
          <w:tcPr>
            <w:tcW w:type="dxa" w:w="115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–</w:t>
            </w:r>
          </w:p>
        </w:tc>
        <w:tc>
          <w:tcPr>
            <w:tcW w:type="dxa" w:w="95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✓ Full</w:t>
            </w:r>
          </w:p>
        </w:tc>
        <w:tc>
          <w:tcPr>
            <w:tcW w:type="dxa" w:w="115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–</w:t>
            </w:r>
          </w:p>
        </w:tc>
        <w:tc>
          <w:tcPr>
            <w:tcW w:type="dxa" w:w="125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Safety Officer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✓ Full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View only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–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Financial Analyst</w:t>
            </w:r>
          </w:p>
        </w:tc>
        <w:tc>
          <w:tcPr>
            <w:tcW w:type="dxa" w:w="100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View only</w:t>
            </w:r>
          </w:p>
        </w:tc>
        <w:tc>
          <w:tcPr>
            <w:tcW w:type="dxa" w:w="115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–</w:t>
            </w:r>
          </w:p>
        </w:tc>
        <w:tc>
          <w:tcPr>
            <w:tcW w:type="dxa" w:w="95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–</w:t>
            </w:r>
          </w:p>
        </w:tc>
        <w:tc>
          <w:tcPr>
            <w:tcW w:type="dxa" w:w="115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✓ Full</w:t>
            </w:r>
          </w:p>
        </w:tc>
        <w:tc>
          <w:tcPr>
            <w:tcW w:type="dxa" w:w="125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1E1E"/>
                <w:sz w:val="19"/>
                <w:szCs w:val="19"/>
              </w:rPr>
              <w:t xml:space="preserve">✓ Full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0F7A6B" w:sz="8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3. Roles, One by One</w:t>
      </w:r>
    </w:p>
    <w:p>
      <w:pPr>
        <w:pStyle w:val="Heading2"/>
        <w:spacing w:after="120" w:before="300"/>
      </w:pPr>
      <w:r>
        <w:rPr>
          <w:b/>
          <w:bCs/>
          <w:color w:val="0F7A6B"/>
          <w:sz w:val="24"/>
          <w:szCs w:val="24"/>
        </w:rPr>
        <w:t xml:space="preserve">3.1 Fleet Manager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Owns everything about the physical vehicle: onboarding, records, and its maintenance lifecycle.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Screen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Vehicle Registry — full read/write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Maintenance — full read/write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Drivers — full read/write access (per RBAC matrix)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Analytics — full access to fleet-level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Dashboard, Trips, Fuel &amp; Expenses — no direct access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Core 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Register new vehicles into the Vehicle Registry with registration number, name/model, type, capacity, odometer reading, and acquisition cost.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Maintain each vehicle's status across its lifecycle: Available, On Trip, In Shop, or Retired.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Log service records when a vehicle needs maintenance — capturing vehicle, service type (e.g. Oil Change, Engine Repair, Tyre Replace), cost, and resulting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Move a vehicle to 'In Shop' when it requires servicing, which automatically removes it from the dispatcher's live dispatch pool.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Close a service record once work is finished, returning the vehicle to Available without marking it Retired.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Ensure every vehicle's registration number stays unique across the fleet.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Review fleet-level KPIs (active vehicles, available vehicles, vehicles in maintenance, fleet utilization) to plan capacity.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Typical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Vehicle → fill registration/model/type/capacity/odometer/cost → vehicle appears in registry as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Vehicle needs service → Log Service Record → select vehicle, service type, cost → vehicle flips to In Shop → automatically hidden from Trip Dispatcher.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Service finishes → close the service log → vehicle returns to Available — without ever being marked Retired.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Business Rules Enforced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Registration number must be unique across the fleet.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Retired or In Shop vehicles are automatically hidden from the Trip Dispatcher's vehicle picker.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Closing a service record returns a vehicle to Available; it does not retire it.</w:t>
      </w:r>
    </w:p>
    <w:p>
      <w:pPr>
        <w:pStyle w:val="Heading2"/>
        <w:spacing w:after="120" w:before="300"/>
      </w:pPr>
      <w:r>
        <w:rPr>
          <w:b/>
          <w:bCs/>
          <w:color w:val="0F7A6B"/>
          <w:sz w:val="24"/>
          <w:szCs w:val="24"/>
        </w:rPr>
        <w:t xml:space="preserve">3.2 Dispatcher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Owns day-to-day operations: turning a request into an assigned, tracked trip.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Screen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Dashboard — full access (operational KPIs, recent trips, vehicle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Trip Dispatcher — full read/write access to create and manage trips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Vehicle Registry — view-only, to check availability and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Drivers, Maintenance, Fuel &amp; Expenses, Analytics — no direct access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Core 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Monitor the Dashboard for active trips, pending trips, drivers on duty, and overall fleet utilization.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Create new trips by selecting an available vehicle, an available driver, source, destination, cargo weight, and planned distance.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Track every trip through its lifecycle stages: Draft → Dispatched → Completed, or Cancelled.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Use the Live Board to see all trips in progress with their status and ETA at a glance.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Cancel a trip when a vehicle unexpectedly goes to the shop or a plan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Ensure cargo weight never exceeds a vehicle's rated capacity before dispatching.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Typical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Create Trip → pick vehicle (available only) → pick driver (available only) → enter source/destination → enter cargo weight &amp; planned distance.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checks cargo weight against vehicle capacity — if exceeded, the Dispatch button is disabled with an error (e.g. 'Capacity exceeded by 200 kg — dispatch blocked').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Trip is dispatched → status becomes Dispatched → visible on the Live Board with 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 completion: odometer is updated → a fuel log entry is created → expenses are recorded → vehicle and driver both flip back to Available automatically.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Business Rules Enforced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Retired or In Shop vehicles are excluded from the vehicle picker.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Expired-license or Suspended drivers are blocked from trip assignment.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Cargo weight exceeding vehicle capacity blocks dispatch until corrected.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Completing a trip cascades automatically: odometer → fuel log → expenses → vehicle &amp; driver set back to Available.</w:t>
      </w:r>
    </w:p>
    <w:p>
      <w:pPr>
        <w:pStyle w:val="Heading2"/>
        <w:spacing w:after="120" w:before="300"/>
      </w:pPr>
      <w:r>
        <w:rPr>
          <w:b/>
          <w:bCs/>
          <w:color w:val="0F7A6B"/>
          <w:sz w:val="24"/>
          <w:szCs w:val="24"/>
        </w:rPr>
        <w:t xml:space="preserve">3.3 Safety Officer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Owns the human side of the fleet: driver records, licensing, and safety compliance.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Screen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Drivers &amp; Safety Profiles — full read/write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Trips — view-only, for compliance context on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Fleet, Fuel &amp; Expenses, Analytics — no direct access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Core 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Add new drivers with license number, license category (LMV/HMV), license expiry date, and contact details.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Track each driver's safety/compliance score based on trip completion history.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Monitor license expiry dates and flag or suspend drivers with expired licenses.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Toggle driver status between Available, On Trip, Off Duty, and Suspended.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Suspend a driver when license validity or safety compliance falls below standard, which blocks them from new trip assignments.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Typical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Driver → enter name, license no., category, expiry date, contact → driver defaults to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License nears/passes expiry → Safety Officer reviews and updates status → Suspended if expired.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Suspended or expired-license drivers are automatically excluded from the Dispatcher's driver picker.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Business Rules Enforced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A driver with an expired license or Suspended status is blocked from trip assignment.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Trip completion rate feeds directly into the driver's safety score.</w:t>
      </w:r>
    </w:p>
    <w:p>
      <w:pPr>
        <w:pStyle w:val="Heading2"/>
        <w:spacing w:after="120" w:before="300"/>
      </w:pPr>
      <w:r>
        <w:rPr>
          <w:b/>
          <w:bCs/>
          <w:color w:val="0F7A6B"/>
          <w:sz w:val="24"/>
          <w:szCs w:val="24"/>
        </w:rPr>
        <w:t xml:space="preserve">3.4 Financial Analyst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Owns the money side of the fleet: fuel, expenses, cost tracking, and ROI reporting.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Screen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Fuel &amp; Expense Management — full read/write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Reports &amp; Analytics — full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Trips — no direct access; Fleet — no direct access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Core 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Log fuel entries per vehicle: date, liters filled, and fuel cost.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Add other trip-linked expenses: toll charges and miscellaneous costs, alongside maintenance costs pulled in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Monitor fleet-wide financial KPIs: fuel efficiency (km/l), fleet utilization, total operational cost, and vehicle ROI.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Review the Top Costliest Vehicles report to spot vehicles driving disproportionate expense.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Track monthly revenue trends and export reports to CSV for finance/ops reviews.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Verify the auto-calculated Total Operational Cost and per-vehicle ROI figures for accuracy before reporting upward.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Typical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trip completes → fuel log and linked expenses are auto-created → Financial Analyst reviews and reconciles toll/other charges.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 Fuel → select vehicle → enter date, liters, fuel cost → entry feeds fuel-efficiency KPI.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Expense → select trip/vehicle → enter toll and other costs → maintenance cost auto-links → total is computed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 Analytics → review fuel efficiency, utilization, operational cost, and ROI → export CSV as needed.</w:t>
      </w:r>
    </w:p>
    <w:p>
      <w:pPr>
        <w:spacing w:after="80" w:before="200"/>
      </w:pPr>
      <w:r>
        <w:rPr>
          <w:b/>
          <w:bCs/>
          <w:color w:val="1F3B57"/>
          <w:sz w:val="21"/>
          <w:szCs w:val="21"/>
        </w:rPr>
        <w:t xml:space="preserve">Business Rules Enforced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Total Operational Cost (auto) = Fuel + Maintenance.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Vehicle ROI = (Revenue − (Maintenance + Fuel)) ÷ Acquisition Cost.</w:t>
      </w:r>
    </w:p>
    <w:p>
      <w:pPr>
        <w:pStyle w:val="Heading1"/>
        <w:pBdr>
          <w:bottom w:val="single" w:color="0F7A6B" w:sz="8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4. Shared / Administrative Screens</w:t>
      </w:r>
    </w:p>
    <w:p>
      <w:pPr>
        <w:pStyle w:val="Heading2"/>
        <w:spacing w:after="120" w:before="300"/>
      </w:pPr>
      <w:r>
        <w:rPr>
          <w:b/>
          <w:bCs/>
          <w:color w:val="0F7A6B"/>
          <w:sz w:val="24"/>
          <w:szCs w:val="24"/>
        </w:rPr>
        <w:t xml:space="preserve">4.1 Authentication (RBAC Login)</w:t>
      </w:r>
    </w:p>
    <w:p>
      <w:pPr>
        <w:spacing w:after="120"/>
      </w:pPr>
      <w:r>
        <w:rPr>
          <w:sz w:val="21"/>
          <w:szCs w:val="21"/>
        </w:rPr>
        <w:t xml:space="preserve">Every role signs in through the same screen — email + password, with a 'Remember me' option and a 'Forgot password?' link. After five failed attempts the account is locked. On success, the system reads the user's assigned role and routes them straight into their scoped experience; no role selection step is shown to the user.</w:t>
      </w:r>
    </w:p>
    <w:p>
      <w:pPr>
        <w:pStyle w:val="Heading2"/>
        <w:spacing w:after="120" w:before="300"/>
      </w:pPr>
      <w:r>
        <w:rPr>
          <w:b/>
          <w:bCs/>
          <w:color w:val="0F7A6B"/>
          <w:sz w:val="24"/>
          <w:szCs w:val="24"/>
        </w:rPr>
        <w:t xml:space="preserve">4.2 Settings &amp; RBAC</w:t>
      </w:r>
    </w:p>
    <w:p>
      <w:pPr>
        <w:spacing w:after="120"/>
      </w:pPr>
      <w:r>
        <w:rPr>
          <w:sz w:val="21"/>
          <w:szCs w:val="21"/>
        </w:rPr>
        <w:t xml:space="preserve">An administrative screen (General + Role-Based Access tabs) where system-wide preferences — currency (INR), distance unit (Kilometers), depot name — are configured, and where the access matrix in Section 2 is defined and maintained. This is where a system administrator would assign or adjust which modules each of the four roles can view versus fully manage.</w:t>
      </w:r>
    </w:p>
    <w:p>
      <w:pPr>
        <w:pStyle w:val="Heading1"/>
        <w:pBdr>
          <w:bottom w:val="single" w:color="0F7A6B" w:sz="8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5. Cross-Role Business Rules Summary</w:t>
      </w:r>
    </w:p>
    <w:p>
      <w:pPr>
        <w:spacing w:after="120"/>
      </w:pPr>
      <w:r>
        <w:rPr>
          <w:sz w:val="21"/>
          <w:szCs w:val="21"/>
        </w:rPr>
        <w:t xml:space="preserve">These rules span more than one role and keep the four scoped experiences consistent with one another: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Registration number must be unique per vehicle (Fleet Manager creates it, Dispatcher relies on it).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Retired or In Shop vehicles are hidden from the Dispatcher's picker (Fleet Manager sets status, Dispatcher consumes it).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Expired-license or Suspended drivers are blocked from trip assignment (Safety Officer sets status, Dispatcher consumes it).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Cargo weight exceeding vehicle capacity blocks dispatch (Fleet Manager sets capacity, Dispatcher validates against it).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Completing a trip cascades automatically into odometer, fuel log, and expenses (Dispatcher completes the trip, Financial Analyst inherits the records).</w:t>
      </w:r>
    </w:p>
    <w:p>
      <w:pPr>
        <w:pBdr>
          <w:top w:val="single" w:color="0F7A6B" w:sz="4" w:space="4"/>
          <w:bottom w:val="single" w:color="0F7A6B" w:sz="4" w:space="4"/>
          <w:left w:val="single" w:color="0F7A6B" w:sz="4" w:space="4"/>
          <w:right w:val="single" w:color="0F7A6B" w:sz="4" w:space="4"/>
        </w:pBdr>
        <w:shd w:fill="EAF2F0" w:val="clear"/>
        <w:spacing w:after="200" w:before="80"/>
      </w:pPr>
      <w:r>
        <w:rPr>
          <w:b/>
          <w:bCs/>
          <w:color w:val="1F3B57"/>
          <w:sz w:val="20"/>
          <w:szCs w:val="20"/>
        </w:rPr>
        <w:t xml:space="preserve">Rule: </w:t>
      </w:r>
      <w:r>
        <w:rPr>
          <w:color w:val="1F3B57"/>
          <w:sz w:val="20"/>
          <w:szCs w:val="20"/>
        </w:rPr>
        <w:t xml:space="preserve">Total Operational Cost and Vehicle ROI are computed automatically from Fuel + Maintenance data (Fleet Manager and Financial Analyst both feed this figure).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2026-07-12T06:01:19.284Z</dcterms:created>
  <dcterms:modified xsi:type="dcterms:W3CDTF">2026-07-12T06:01:19.284Z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