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rFonts w:ascii="Calibri" w:hAnsi="Calibri"/>
          <w:b/>
          <w:color w:val="2E74B5"/>
          <w:sz w:val="22"/>
        </w:rPr>
        <w:t>PROPOSED SOLUTION</w:t>
      </w:r>
    </w:p>
    <w:p>
      <w:pPr>
        <w:spacing w:after="160"/>
        <w:jc w:val="center"/>
      </w:pPr>
      <w:r>
        <w:rPr>
          <w:rFonts w:ascii="Calibri" w:hAnsi="Calibri"/>
          <w:b/>
          <w:color w:val="0B2545"/>
          <w:sz w:val="52"/>
        </w:rPr>
        <w:t>Academia-Industry Collaboration Portal</w:t>
      </w:r>
    </w:p>
    <w:p>
      <w:pPr>
        <w:spacing w:after="560"/>
        <w:jc w:val="center"/>
      </w:pPr>
      <w:r>
        <w:rPr>
          <w:rFonts w:ascii="Calibri" w:hAnsi="Calibri"/>
          <w:i/>
          <w:color w:val="5B6573"/>
          <w:sz w:val="28"/>
        </w:rPr>
        <w:t>A unified platform for skill mapping, internships, and placements</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800"/>
            <w:tcMar>
              <w:top w:w="80" w:type="dxa"/>
              <w:start w:w="120" w:type="dxa"/>
              <w:bottom w:w="80" w:type="dxa"/>
              <w:end w:w="120" w:type="dxa"/>
            </w:tcMar>
            <w:vAlign w:val="center"/>
            <w:shd w:fill="F4F6F9"/>
          </w:tcPr>
          <w:p>
            <w:pPr>
              <w:spacing w:after="40" w:line="252" w:lineRule="auto"/>
            </w:pPr>
            <w:r>
              <w:rPr>
                <w:rFonts w:ascii="Calibri" w:hAnsi="Calibri"/>
                <w:b/>
                <w:color w:val="0B2545"/>
                <w:sz w:val="18"/>
              </w:rPr>
              <w:t>Solution focus</w:t>
            </w:r>
          </w:p>
        </w:tc>
        <w:tc>
          <w:tcPr>
            <w:tcW w:type="dxa" w:w="6560"/>
            <w:tcMar>
              <w:top w:w="80" w:type="dxa"/>
              <w:start w:w="120" w:type="dxa"/>
              <w:bottom w:w="80" w:type="dxa"/>
              <w:end w:w="120" w:type="dxa"/>
            </w:tcMar>
            <w:vAlign w:val="center"/>
            <w:shd w:fill="F4F6F9"/>
          </w:tcPr>
          <w:p>
            <w:pPr>
              <w:spacing w:after="40" w:line="252" w:lineRule="auto"/>
            </w:pPr>
            <w:r>
              <w:rPr>
                <w:rFonts w:ascii="Calibri" w:hAnsi="Calibri"/>
                <w:b/>
                <w:color w:val="0B2545"/>
                <w:sz w:val="18"/>
              </w:rPr>
              <w:t>Proposed value</w:t>
            </w:r>
          </w:p>
        </w:tc>
      </w:tr>
      <w:tr>
        <w:tc>
          <w:tcPr>
            <w:tcW w:type="dxa" w:w="2800"/>
            <w:tcMar>
              <w:top w:w="80" w:type="dxa"/>
              <w:start w:w="120" w:type="dxa"/>
              <w:bottom w:w="80" w:type="dxa"/>
              <w:end w:w="120" w:type="dxa"/>
            </w:tcMar>
            <w:vAlign w:val="center"/>
          </w:tcPr>
          <w:p>
            <w:pPr>
              <w:spacing w:after="40" w:line="252" w:lineRule="auto"/>
            </w:pPr>
            <w:r>
              <w:rPr>
                <w:rFonts w:ascii="Calibri" w:hAnsi="Calibri"/>
                <w:b w:val="0"/>
                <w:color w:val="252B33"/>
                <w:sz w:val="18"/>
              </w:rPr>
              <w:t>Student employability</w:t>
            </w:r>
          </w:p>
        </w:tc>
        <w:tc>
          <w:tcPr>
            <w:tcW w:type="dxa" w:w="6560"/>
            <w:tcMar>
              <w:top w:w="80" w:type="dxa"/>
              <w:start w:w="120" w:type="dxa"/>
              <w:bottom w:w="80" w:type="dxa"/>
              <w:end w:w="120" w:type="dxa"/>
            </w:tcMar>
            <w:vAlign w:val="center"/>
          </w:tcPr>
          <w:p>
            <w:pPr>
              <w:spacing w:after="40" w:line="252" w:lineRule="auto"/>
            </w:pPr>
            <w:r>
              <w:rPr>
                <w:rFonts w:ascii="Calibri" w:hAnsi="Calibri"/>
                <w:b w:val="0"/>
                <w:color w:val="252B33"/>
                <w:sz w:val="18"/>
              </w:rPr>
              <w:t>Clear, skills-aligned pathways from learning to work</w:t>
            </w:r>
          </w:p>
        </w:tc>
      </w:tr>
      <w:tr>
        <w:tc>
          <w:tcPr>
            <w:tcW w:type="dxa" w:w="2800"/>
            <w:tcMar>
              <w:top w:w="80" w:type="dxa"/>
              <w:start w:w="120" w:type="dxa"/>
              <w:bottom w:w="80" w:type="dxa"/>
              <w:end w:w="120" w:type="dxa"/>
            </w:tcMar>
            <w:vAlign w:val="center"/>
          </w:tcPr>
          <w:p>
            <w:pPr>
              <w:spacing w:after="40" w:line="252" w:lineRule="auto"/>
            </w:pPr>
            <w:r>
              <w:rPr>
                <w:rFonts w:ascii="Calibri" w:hAnsi="Calibri"/>
                <w:b w:val="0"/>
                <w:color w:val="252B33"/>
                <w:sz w:val="18"/>
              </w:rPr>
              <w:t>Collaboration</w:t>
            </w:r>
          </w:p>
        </w:tc>
        <w:tc>
          <w:tcPr>
            <w:tcW w:type="dxa" w:w="6560"/>
            <w:tcMar>
              <w:top w:w="80" w:type="dxa"/>
              <w:start w:w="120" w:type="dxa"/>
              <w:bottom w:w="80" w:type="dxa"/>
              <w:end w:w="120" w:type="dxa"/>
            </w:tcMar>
            <w:vAlign w:val="center"/>
          </w:tcPr>
          <w:p>
            <w:pPr>
              <w:spacing w:after="40" w:line="252" w:lineRule="auto"/>
            </w:pPr>
            <w:r>
              <w:rPr>
                <w:rFonts w:ascii="Calibri" w:hAnsi="Calibri"/>
                <w:b w:val="0"/>
                <w:color w:val="252B33"/>
                <w:sz w:val="18"/>
              </w:rPr>
              <w:t>Shared workflows for students, institutions, and employers</w:t>
            </w:r>
          </w:p>
        </w:tc>
      </w:tr>
      <w:tr>
        <w:tc>
          <w:tcPr>
            <w:tcW w:type="dxa" w:w="2800"/>
            <w:tcMar>
              <w:top w:w="80" w:type="dxa"/>
              <w:start w:w="120" w:type="dxa"/>
              <w:bottom w:w="80" w:type="dxa"/>
              <w:end w:w="120" w:type="dxa"/>
            </w:tcMar>
            <w:vAlign w:val="center"/>
          </w:tcPr>
          <w:p>
            <w:pPr>
              <w:spacing w:after="40" w:line="252" w:lineRule="auto"/>
            </w:pPr>
            <w:r>
              <w:rPr>
                <w:rFonts w:ascii="Calibri" w:hAnsi="Calibri"/>
                <w:b w:val="0"/>
                <w:color w:val="252B33"/>
                <w:sz w:val="18"/>
              </w:rPr>
              <w:t>Outcome intelligence</w:t>
            </w:r>
          </w:p>
        </w:tc>
        <w:tc>
          <w:tcPr>
            <w:tcW w:type="dxa" w:w="6560"/>
            <w:tcMar>
              <w:top w:w="80" w:type="dxa"/>
              <w:start w:w="120" w:type="dxa"/>
              <w:bottom w:w="80" w:type="dxa"/>
              <w:end w:w="120" w:type="dxa"/>
            </w:tcMar>
            <w:vAlign w:val="center"/>
          </w:tcPr>
          <w:p>
            <w:pPr>
              <w:spacing w:after="40" w:line="252" w:lineRule="auto"/>
            </w:pPr>
            <w:r>
              <w:rPr>
                <w:rFonts w:ascii="Calibri" w:hAnsi="Calibri"/>
                <w:b w:val="0"/>
                <w:color w:val="252B33"/>
                <w:sz w:val="18"/>
              </w:rPr>
              <w:t>Measurable readiness, internship, and placement impact</w:t>
            </w:r>
          </w:p>
        </w:tc>
      </w:tr>
    </w:tbl>
    <w:p>
      <w:pPr>
        <w:spacing w:before="760"/>
        <w:jc w:val="center"/>
      </w:pPr>
      <w:r>
        <w:rPr>
          <w:rFonts w:ascii="Calibri" w:hAnsi="Calibri"/>
          <w:color w:val="5B6573"/>
          <w:sz w:val="20"/>
        </w:rPr>
        <w:t>Prepared as a scalable digital transformation proposal</w:t>
      </w:r>
    </w:p>
    <w:p>
      <w:r>
        <w:br w:type="page"/>
      </w:r>
    </w:p>
    <w:p>
      <w:pPr>
        <w:pStyle w:val="Heading1"/>
        <w:keepNext/>
      </w:pPr>
      <w:r>
        <w:t>1. Executive Summary</w:t>
      </w:r>
    </w:p>
    <w:p>
      <w:pPr/>
      <w:r>
        <w:t>The proposed portal establishes a shared digital workspace where academic institutions and employers translate workforce demand into student-ready learning, internship, and placement journeys. It replaces fragmented spreadsheets, informal outreach, and one-time drives with a governed, evidence-based ecosystem.</w:t>
      </w:r>
    </w:p>
    <w:p>
      <w:pPr/>
      <w:r>
        <w:t>Using a common skills taxonomy, the platform maps each student’s evidenced capabilities against employer role requirements. It then recommends targeted learning, internships, projects, mentors, and placement opportunities. Employers gain a structured pipeline of role-relevant talent, while institutions gain feedback that keeps academic programs aligned to changing demand.</w:t>
      </w:r>
    </w:p>
    <w:p>
      <w:pPr>
        <w:pStyle w:val="Heading1"/>
        <w:keepNext/>
      </w:pPr>
      <w:r>
        <w:t>2. Problem Statement</w:t>
      </w:r>
    </w:p>
    <w:p>
      <w:pPr/>
      <w:r>
        <w:t>Academia and industry often operate with incomplete visibility into each other’s needs. Students may complete courses without understanding job-specific expectations; employers struggle to identify job-ready talent; and placement cells lack a single source of truth for readiness, internships, and outcomes.</w:t>
      </w:r>
    </w:p>
    <w:p>
      <w:pPr>
        <w:pStyle w:val="ListBullet"/>
      </w:pPr>
      <w:r>
        <w:t>Skill gaps are discovered late, often during internship or placement selection.</w:t>
      </w:r>
    </w:p>
    <w:p>
      <w:pPr>
        <w:pStyle w:val="ListBullet"/>
      </w:pPr>
      <w:r>
        <w:t>Student profiles, assessments, projects, and certifications are dispersed across systems.</w:t>
      </w:r>
    </w:p>
    <w:p>
      <w:pPr>
        <w:pStyle w:val="ListBullet"/>
      </w:pPr>
      <w:r>
        <w:t>Internship discovery and mentor feedback are inconsistent and hard to measure at scale.</w:t>
      </w:r>
    </w:p>
    <w:p>
      <w:pPr>
        <w:pStyle w:val="ListBullet"/>
      </w:pPr>
      <w:r>
        <w:t>Employers cannot easily compare candidates using verified, role-specific evidence.</w:t>
      </w:r>
    </w:p>
    <w:p>
      <w:pPr>
        <w:pStyle w:val="ListBullet"/>
      </w:pPr>
      <w:r>
        <w:t>Institutions receive limited structured feedback to improve curriculum and career support.</w:t>
      </w:r>
    </w:p>
    <w:p>
      <w:pPr>
        <w:pStyle w:val="Heading1"/>
        <w:keepNext/>
      </w:pPr>
      <w:r>
        <w:t>3. Solution Vision</w:t>
      </w:r>
    </w:p>
    <w:p>
      <w:pPr/>
      <w:r>
        <w:t>Create a secure, role-based portal that connects skills data, experiential learning, and recruitment workflows into one continuous employability journey. The product is a partnership platform, not merely a job board: every interaction strengthens the skills signal and the talent pipeline.</w:t>
      </w:r>
    </w:p>
    <w:p>
      <w:pPr>
        <w:pStyle w:val="Heading2"/>
        <w:keepNext/>
      </w:pPr>
      <w:r>
        <w:t>Design Principles</w:t>
      </w:r>
    </w:p>
    <w:p>
      <w:pPr>
        <w:pStyle w:val="ListBullet"/>
      </w:pPr>
      <w:r>
        <w:t>Skills first: use a shared taxonomy across learning and employment.</w:t>
      </w:r>
    </w:p>
    <w:p>
      <w:pPr>
        <w:pStyle w:val="ListBullet"/>
      </w:pPr>
      <w:r>
        <w:t>Evidence over claims: capture assessments, projects, certifications, and mentor feedback.</w:t>
      </w:r>
    </w:p>
    <w:p>
      <w:pPr>
        <w:pStyle w:val="ListBullet"/>
      </w:pPr>
      <w:r>
        <w:t>Actionable intelligence: turn gaps into next-best actions.</w:t>
      </w:r>
    </w:p>
    <w:p>
      <w:pPr>
        <w:pStyle w:val="ListBullet"/>
      </w:pPr>
      <w:r>
        <w:t>Shared value: tailor workflows for students, institutions, and employers.</w:t>
      </w:r>
    </w:p>
    <w:p>
      <w:pPr>
        <w:pStyle w:val="ListBullet"/>
      </w:pPr>
      <w:r>
        <w:t>Privacy by design: make profile visibility and consent transparent.</w:t>
      </w:r>
    </w:p>
    <w:p>
      <w:r>
        <w:br w:type="page"/>
      </w:r>
    </w:p>
    <w:p>
      <w:pPr>
        <w:pStyle w:val="Heading1"/>
        <w:keepNext/>
      </w:pPr>
      <w:r>
        <w:t>4. Proposed Platform Architecture</w:t>
      </w:r>
    </w:p>
    <w:p>
      <w:pPr/>
      <w:r>
        <w:t>The solution is organized around five connected layers. Each layer can be launched incrementally while sharing a common identity, skills, and data foundation.</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750"/>
            <w:tcMar>
              <w:top w:w="80" w:type="dxa"/>
              <w:start w:w="120" w:type="dxa"/>
              <w:bottom w:w="80" w:type="dxa"/>
              <w:end w:w="120" w:type="dxa"/>
            </w:tcMar>
            <w:vAlign w:val="center"/>
            <w:shd w:fill="F4F6F9"/>
          </w:tcPr>
          <w:p>
            <w:pPr>
              <w:spacing w:after="40" w:line="252" w:lineRule="auto"/>
            </w:pPr>
            <w:r>
              <w:rPr>
                <w:rFonts w:ascii="Calibri" w:hAnsi="Calibri"/>
                <w:b/>
                <w:color w:val="0B2545"/>
                <w:sz w:val="18"/>
              </w:rPr>
              <w:t>Layer</w:t>
            </w:r>
          </w:p>
        </w:tc>
        <w:tc>
          <w:tcPr>
            <w:tcW w:type="dxa" w:w="3700"/>
            <w:tcMar>
              <w:top w:w="80" w:type="dxa"/>
              <w:start w:w="120" w:type="dxa"/>
              <w:bottom w:w="80" w:type="dxa"/>
              <w:end w:w="120" w:type="dxa"/>
            </w:tcMar>
            <w:vAlign w:val="center"/>
            <w:shd w:fill="F4F6F9"/>
          </w:tcPr>
          <w:p>
            <w:pPr>
              <w:spacing w:after="40" w:line="252" w:lineRule="auto"/>
            </w:pPr>
            <w:r>
              <w:rPr>
                <w:rFonts w:ascii="Calibri" w:hAnsi="Calibri"/>
                <w:b/>
                <w:color w:val="0B2545"/>
                <w:sz w:val="18"/>
              </w:rPr>
              <w:t>Core capability</w:t>
            </w:r>
          </w:p>
        </w:tc>
        <w:tc>
          <w:tcPr>
            <w:tcW w:type="dxa" w:w="3910"/>
            <w:tcMar>
              <w:top w:w="80" w:type="dxa"/>
              <w:start w:w="120" w:type="dxa"/>
              <w:bottom w:w="80" w:type="dxa"/>
              <w:end w:w="120" w:type="dxa"/>
            </w:tcMar>
            <w:vAlign w:val="center"/>
            <w:shd w:fill="F4F6F9"/>
          </w:tcPr>
          <w:p>
            <w:pPr>
              <w:spacing w:after="40" w:line="252" w:lineRule="auto"/>
            </w:pPr>
            <w:r>
              <w:rPr>
                <w:rFonts w:ascii="Calibri" w:hAnsi="Calibri"/>
                <w:b/>
                <w:color w:val="0B2545"/>
                <w:sz w:val="18"/>
              </w:rPr>
              <w:t>Value delivered</w:t>
            </w:r>
          </w:p>
        </w:tc>
      </w:tr>
      <w:tr>
        <w:tc>
          <w:tcPr>
            <w:tcW w:type="dxa" w:w="1750"/>
            <w:tcMar>
              <w:top w:w="80" w:type="dxa"/>
              <w:start w:w="120" w:type="dxa"/>
              <w:bottom w:w="80" w:type="dxa"/>
              <w:end w:w="120" w:type="dxa"/>
            </w:tcMar>
            <w:vAlign w:val="center"/>
          </w:tcPr>
          <w:p>
            <w:pPr>
              <w:spacing w:after="40" w:line="252" w:lineRule="auto"/>
            </w:pPr>
            <w:r>
              <w:rPr>
                <w:rFonts w:ascii="Calibri" w:hAnsi="Calibri"/>
                <w:b w:val="0"/>
                <w:color w:val="252B33"/>
                <w:sz w:val="18"/>
              </w:rPr>
              <w:t>Identity &amp; profiles</w:t>
            </w:r>
          </w:p>
        </w:tc>
        <w:tc>
          <w:tcPr>
            <w:tcW w:type="dxa" w:w="3700"/>
            <w:tcMar>
              <w:top w:w="80" w:type="dxa"/>
              <w:start w:w="120" w:type="dxa"/>
              <w:bottom w:w="80" w:type="dxa"/>
              <w:end w:w="120" w:type="dxa"/>
            </w:tcMar>
            <w:vAlign w:val="center"/>
          </w:tcPr>
          <w:p>
            <w:pPr>
              <w:spacing w:after="40" w:line="252" w:lineRule="auto"/>
            </w:pPr>
            <w:r>
              <w:rPr>
                <w:rFonts w:ascii="Calibri" w:hAnsi="Calibri"/>
                <w:b w:val="0"/>
                <w:color w:val="252B33"/>
                <w:sz w:val="18"/>
              </w:rPr>
              <w:t>Role-based onboarding; student portfolios; campus and employer profiles</w:t>
            </w:r>
          </w:p>
        </w:tc>
        <w:tc>
          <w:tcPr>
            <w:tcW w:type="dxa" w:w="3910"/>
            <w:tcMar>
              <w:top w:w="80" w:type="dxa"/>
              <w:start w:w="120" w:type="dxa"/>
              <w:bottom w:w="80" w:type="dxa"/>
              <w:end w:w="120" w:type="dxa"/>
            </w:tcMar>
            <w:vAlign w:val="center"/>
          </w:tcPr>
          <w:p>
            <w:pPr>
              <w:spacing w:after="40" w:line="252" w:lineRule="auto"/>
            </w:pPr>
            <w:r>
              <w:rPr>
                <w:rFonts w:ascii="Calibri" w:hAnsi="Calibri"/>
                <w:b w:val="0"/>
                <w:color w:val="252B33"/>
                <w:sz w:val="18"/>
              </w:rPr>
              <w:t>Trusted, permissioned participation</w:t>
            </w:r>
          </w:p>
        </w:tc>
      </w:tr>
      <w:tr>
        <w:tc>
          <w:tcPr>
            <w:tcW w:type="dxa" w:w="1750"/>
            <w:tcMar>
              <w:top w:w="80" w:type="dxa"/>
              <w:start w:w="120" w:type="dxa"/>
              <w:bottom w:w="80" w:type="dxa"/>
              <w:end w:w="120" w:type="dxa"/>
            </w:tcMar>
            <w:vAlign w:val="center"/>
          </w:tcPr>
          <w:p>
            <w:pPr>
              <w:spacing w:after="40" w:line="252" w:lineRule="auto"/>
            </w:pPr>
            <w:r>
              <w:rPr>
                <w:rFonts w:ascii="Calibri" w:hAnsi="Calibri"/>
                <w:b w:val="0"/>
                <w:color w:val="252B33"/>
                <w:sz w:val="18"/>
              </w:rPr>
              <w:t>Skills intelligence</w:t>
            </w:r>
          </w:p>
        </w:tc>
        <w:tc>
          <w:tcPr>
            <w:tcW w:type="dxa" w:w="3700"/>
            <w:tcMar>
              <w:top w:w="80" w:type="dxa"/>
              <w:start w:w="120" w:type="dxa"/>
              <w:bottom w:w="80" w:type="dxa"/>
              <w:end w:w="120" w:type="dxa"/>
            </w:tcMar>
            <w:vAlign w:val="center"/>
          </w:tcPr>
          <w:p>
            <w:pPr>
              <w:spacing w:after="40" w:line="252" w:lineRule="auto"/>
            </w:pPr>
            <w:r>
              <w:rPr>
                <w:rFonts w:ascii="Calibri" w:hAnsi="Calibri"/>
                <w:b w:val="0"/>
                <w:color w:val="252B33"/>
                <w:sz w:val="18"/>
              </w:rPr>
              <w:t>Taxonomy, assessments, skill inference, role benchmarks, gap analysis</w:t>
            </w:r>
          </w:p>
        </w:tc>
        <w:tc>
          <w:tcPr>
            <w:tcW w:type="dxa" w:w="3910"/>
            <w:tcMar>
              <w:top w:w="80" w:type="dxa"/>
              <w:start w:w="120" w:type="dxa"/>
              <w:bottom w:w="80" w:type="dxa"/>
              <w:end w:w="120" w:type="dxa"/>
            </w:tcMar>
            <w:vAlign w:val="center"/>
          </w:tcPr>
          <w:p>
            <w:pPr>
              <w:spacing w:after="40" w:line="252" w:lineRule="auto"/>
            </w:pPr>
            <w:r>
              <w:rPr>
                <w:rFonts w:ascii="Calibri" w:hAnsi="Calibri"/>
                <w:b w:val="0"/>
                <w:color w:val="252B33"/>
                <w:sz w:val="18"/>
              </w:rPr>
              <w:t>Comparable readiness signals</w:t>
            </w:r>
          </w:p>
        </w:tc>
      </w:tr>
      <w:tr>
        <w:tc>
          <w:tcPr>
            <w:tcW w:type="dxa" w:w="1750"/>
            <w:tcMar>
              <w:top w:w="80" w:type="dxa"/>
              <w:start w:w="120" w:type="dxa"/>
              <w:bottom w:w="80" w:type="dxa"/>
              <w:end w:w="120" w:type="dxa"/>
            </w:tcMar>
            <w:vAlign w:val="center"/>
          </w:tcPr>
          <w:p>
            <w:pPr>
              <w:spacing w:after="40" w:line="252" w:lineRule="auto"/>
            </w:pPr>
            <w:r>
              <w:rPr>
                <w:rFonts w:ascii="Calibri" w:hAnsi="Calibri"/>
                <w:b w:val="0"/>
                <w:color w:val="252B33"/>
                <w:sz w:val="18"/>
              </w:rPr>
              <w:t>Opportunity marketplace</w:t>
            </w:r>
          </w:p>
        </w:tc>
        <w:tc>
          <w:tcPr>
            <w:tcW w:type="dxa" w:w="3700"/>
            <w:tcMar>
              <w:top w:w="80" w:type="dxa"/>
              <w:start w:w="120" w:type="dxa"/>
              <w:bottom w:w="80" w:type="dxa"/>
              <w:end w:w="120" w:type="dxa"/>
            </w:tcMar>
            <w:vAlign w:val="center"/>
          </w:tcPr>
          <w:p>
            <w:pPr>
              <w:spacing w:after="40" w:line="252" w:lineRule="auto"/>
            </w:pPr>
            <w:r>
              <w:rPr>
                <w:rFonts w:ascii="Calibri" w:hAnsi="Calibri"/>
                <w:b w:val="0"/>
                <w:color w:val="252B33"/>
                <w:sz w:val="18"/>
              </w:rPr>
              <w:t>Internships, projects, apprenticeships, jobs, matching and applications</w:t>
            </w:r>
          </w:p>
        </w:tc>
        <w:tc>
          <w:tcPr>
            <w:tcW w:type="dxa" w:w="3910"/>
            <w:tcMar>
              <w:top w:w="80" w:type="dxa"/>
              <w:start w:w="120" w:type="dxa"/>
              <w:bottom w:w="80" w:type="dxa"/>
              <w:end w:w="120" w:type="dxa"/>
            </w:tcMar>
            <w:vAlign w:val="center"/>
          </w:tcPr>
          <w:p>
            <w:pPr>
              <w:spacing w:after="40" w:line="252" w:lineRule="auto"/>
            </w:pPr>
            <w:r>
              <w:rPr>
                <w:rFonts w:ascii="Calibri" w:hAnsi="Calibri"/>
                <w:b w:val="0"/>
                <w:color w:val="252B33"/>
                <w:sz w:val="18"/>
              </w:rPr>
              <w:t>Relevant opportunities at the right time</w:t>
            </w:r>
          </w:p>
        </w:tc>
      </w:tr>
      <w:tr>
        <w:tc>
          <w:tcPr>
            <w:tcW w:type="dxa" w:w="1750"/>
            <w:tcMar>
              <w:top w:w="80" w:type="dxa"/>
              <w:start w:w="120" w:type="dxa"/>
              <w:bottom w:w="80" w:type="dxa"/>
              <w:end w:w="120" w:type="dxa"/>
            </w:tcMar>
            <w:vAlign w:val="center"/>
          </w:tcPr>
          <w:p>
            <w:pPr>
              <w:spacing w:after="40" w:line="252" w:lineRule="auto"/>
            </w:pPr>
            <w:r>
              <w:rPr>
                <w:rFonts w:ascii="Calibri" w:hAnsi="Calibri"/>
                <w:b w:val="0"/>
                <w:color w:val="252B33"/>
                <w:sz w:val="18"/>
              </w:rPr>
              <w:t>Engagement workflow</w:t>
            </w:r>
          </w:p>
        </w:tc>
        <w:tc>
          <w:tcPr>
            <w:tcW w:type="dxa" w:w="3700"/>
            <w:tcMar>
              <w:top w:w="80" w:type="dxa"/>
              <w:start w:w="120" w:type="dxa"/>
              <w:bottom w:w="80" w:type="dxa"/>
              <w:end w:w="120" w:type="dxa"/>
            </w:tcMar>
            <w:vAlign w:val="center"/>
          </w:tcPr>
          <w:p>
            <w:pPr>
              <w:spacing w:after="40" w:line="252" w:lineRule="auto"/>
            </w:pPr>
            <w:r>
              <w:rPr>
                <w:rFonts w:ascii="Calibri" w:hAnsi="Calibri"/>
                <w:b w:val="0"/>
                <w:color w:val="252B33"/>
                <w:sz w:val="18"/>
              </w:rPr>
              <w:t>Mentor plans, task logs, evaluations, offer management, notifications</w:t>
            </w:r>
          </w:p>
        </w:tc>
        <w:tc>
          <w:tcPr>
            <w:tcW w:type="dxa" w:w="3910"/>
            <w:tcMar>
              <w:top w:w="80" w:type="dxa"/>
              <w:start w:w="120" w:type="dxa"/>
              <w:bottom w:w="80" w:type="dxa"/>
              <w:end w:w="120" w:type="dxa"/>
            </w:tcMar>
            <w:vAlign w:val="center"/>
          </w:tcPr>
          <w:p>
            <w:pPr>
              <w:spacing w:after="40" w:line="252" w:lineRule="auto"/>
            </w:pPr>
            <w:r>
              <w:rPr>
                <w:rFonts w:ascii="Calibri" w:hAnsi="Calibri"/>
                <w:b w:val="0"/>
                <w:color w:val="252B33"/>
                <w:sz w:val="18"/>
              </w:rPr>
              <w:t>Consistent execution and feedback</w:t>
            </w:r>
          </w:p>
        </w:tc>
      </w:tr>
      <w:tr>
        <w:tc>
          <w:tcPr>
            <w:tcW w:type="dxa" w:w="1750"/>
            <w:tcMar>
              <w:top w:w="80" w:type="dxa"/>
              <w:start w:w="120" w:type="dxa"/>
              <w:bottom w:w="80" w:type="dxa"/>
              <w:end w:w="120" w:type="dxa"/>
            </w:tcMar>
            <w:vAlign w:val="center"/>
          </w:tcPr>
          <w:p>
            <w:pPr>
              <w:spacing w:after="40" w:line="252" w:lineRule="auto"/>
            </w:pPr>
            <w:r>
              <w:rPr>
                <w:rFonts w:ascii="Calibri" w:hAnsi="Calibri"/>
                <w:b w:val="0"/>
                <w:color w:val="252B33"/>
                <w:sz w:val="18"/>
              </w:rPr>
              <w:t>Analytics &amp; governance</w:t>
            </w:r>
          </w:p>
        </w:tc>
        <w:tc>
          <w:tcPr>
            <w:tcW w:type="dxa" w:w="3700"/>
            <w:tcMar>
              <w:top w:w="80" w:type="dxa"/>
              <w:start w:w="120" w:type="dxa"/>
              <w:bottom w:w="80" w:type="dxa"/>
              <w:end w:w="120" w:type="dxa"/>
            </w:tcMar>
            <w:vAlign w:val="center"/>
          </w:tcPr>
          <w:p>
            <w:pPr>
              <w:spacing w:after="40" w:line="252" w:lineRule="auto"/>
            </w:pPr>
            <w:r>
              <w:rPr>
                <w:rFonts w:ascii="Calibri" w:hAnsi="Calibri"/>
                <w:b w:val="0"/>
                <w:color w:val="252B33"/>
                <w:sz w:val="18"/>
              </w:rPr>
              <w:t>Dashboards, outcomes, curriculum insight, audit and consent controls</w:t>
            </w:r>
          </w:p>
        </w:tc>
        <w:tc>
          <w:tcPr>
            <w:tcW w:type="dxa" w:w="3910"/>
            <w:tcMar>
              <w:top w:w="80" w:type="dxa"/>
              <w:start w:w="120" w:type="dxa"/>
              <w:bottom w:w="80" w:type="dxa"/>
              <w:end w:w="120" w:type="dxa"/>
            </w:tcMar>
            <w:vAlign w:val="center"/>
          </w:tcPr>
          <w:p>
            <w:pPr>
              <w:spacing w:after="40" w:line="252" w:lineRule="auto"/>
            </w:pPr>
            <w:r>
              <w:rPr>
                <w:rFonts w:ascii="Calibri" w:hAnsi="Calibri"/>
                <w:b w:val="0"/>
                <w:color w:val="252B33"/>
                <w:sz w:val="18"/>
              </w:rPr>
              <w:t>Decisions based on measurable outcomes</w:t>
            </w:r>
          </w:p>
        </w:tc>
      </w:tr>
    </w:tbl>
    <w:p>
      <w:pPr>
        <w:pStyle w:val="Heading2"/>
        <w:keepNext/>
      </w:pPr>
      <w:r>
        <w:t>User Experiences</w:t>
      </w:r>
    </w:p>
    <w:p>
      <w:pPr/>
      <w:r>
        <w:t>A guided dashboard shows students their target roles, readiness score, priority gaps, recommended learning, eligible internships, application status, and mentor feedback. Faculty and placement teams monitor cohort readiness, approve evidence, manage employer engagements, and identify curriculum gaps. Employers define roles, shortlist matched candidates, review portfolios, and submit structured evaluations.</w:t>
      </w:r>
    </w:p>
    <w:p>
      <w:pPr>
        <w:pStyle w:val="Heading1"/>
        <w:keepNext/>
      </w:pPr>
      <w:r>
        <w:t>5. Skill Mapping Engine</w:t>
      </w:r>
    </w:p>
    <w:p>
      <w:pPr/>
      <w:r>
        <w:t>The skills engine converts academic and experiential evidence into a clear readiness view for defined roles.</w:t>
      </w:r>
    </w:p>
    <w:p>
      <w:pPr>
        <w:pStyle w:val="ListNumber"/>
      </w:pPr>
      <w:r>
        <w:t>Define the skills taxonomy: technical, functional, domain, behavioral, and employability skills with proficiency levels.</w:t>
      </w:r>
    </w:p>
    <w:p>
      <w:pPr>
        <w:pStyle w:val="ListNumber"/>
      </w:pPr>
      <w:r>
        <w:t>Create role blueprints: employers specify must-have, preferred, and trainable skills.</w:t>
      </w:r>
    </w:p>
    <w:p>
      <w:pPr>
        <w:pStyle w:val="ListNumber"/>
      </w:pPr>
      <w:r>
        <w:t>Ingest evidence: coursework, assessments, projects, certifications, interests, and mentor evaluations.</w:t>
      </w:r>
    </w:p>
    <w:p>
      <w:pPr>
        <w:pStyle w:val="ListNumber"/>
      </w:pPr>
      <w:r>
        <w:t>Calculate alignment: compare student profiles against role blueprints and surface evidence strength and gaps.</w:t>
      </w:r>
    </w:p>
    <w:p>
      <w:pPr>
        <w:pStyle w:val="ListNumber"/>
      </w:pPr>
      <w:r>
        <w:t>Recommend next actions: suggest learning, projects, mentors, internships, or roles that improve fit.</w:t>
      </w:r>
    </w:p>
    <w:p>
      <w:r>
        <w:br w:type="page"/>
      </w:r>
    </w:p>
    <w:p>
      <w:pPr>
        <w:pStyle w:val="Heading1"/>
        <w:keepNext/>
      </w:pPr>
      <w:r>
        <w:t>6. Internship Lifecycle Management</w:t>
      </w:r>
    </w:p>
    <w:p>
      <w:pPr/>
      <w:r>
        <w:t>Internships are treated as measurable learning experiences, with clear milestones before, during, and after placement.</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1200"/>
            <w:tcMar>
              <w:top w:w="80" w:type="dxa"/>
              <w:start w:w="120" w:type="dxa"/>
              <w:bottom w:w="80" w:type="dxa"/>
              <w:end w:w="120" w:type="dxa"/>
            </w:tcMar>
            <w:vAlign w:val="center"/>
            <w:shd w:fill="F4F6F9"/>
          </w:tcPr>
          <w:p>
            <w:pPr>
              <w:spacing w:after="40" w:line="252" w:lineRule="auto"/>
            </w:pPr>
            <w:r>
              <w:rPr>
                <w:rFonts w:ascii="Calibri" w:hAnsi="Calibri"/>
                <w:b/>
                <w:color w:val="0B2545"/>
                <w:sz w:val="18"/>
              </w:rPr>
              <w:t>Stage</w:t>
            </w:r>
          </w:p>
        </w:tc>
        <w:tc>
          <w:tcPr>
            <w:tcW w:type="dxa" w:w="3850"/>
            <w:tcMar>
              <w:top w:w="80" w:type="dxa"/>
              <w:start w:w="120" w:type="dxa"/>
              <w:bottom w:w="80" w:type="dxa"/>
              <w:end w:w="120" w:type="dxa"/>
            </w:tcMar>
            <w:vAlign w:val="center"/>
            <w:shd w:fill="F4F6F9"/>
          </w:tcPr>
          <w:p>
            <w:pPr>
              <w:spacing w:after="40" w:line="252" w:lineRule="auto"/>
            </w:pPr>
            <w:r>
              <w:rPr>
                <w:rFonts w:ascii="Calibri" w:hAnsi="Calibri"/>
                <w:b/>
                <w:color w:val="0B2545"/>
                <w:sz w:val="18"/>
              </w:rPr>
              <w:t>Portal workflow</w:t>
            </w:r>
          </w:p>
        </w:tc>
        <w:tc>
          <w:tcPr>
            <w:tcW w:type="dxa" w:w="1900"/>
            <w:tcMar>
              <w:top w:w="80" w:type="dxa"/>
              <w:start w:w="120" w:type="dxa"/>
              <w:bottom w:w="80" w:type="dxa"/>
              <w:end w:w="120" w:type="dxa"/>
            </w:tcMar>
            <w:vAlign w:val="center"/>
            <w:shd w:fill="F4F6F9"/>
          </w:tcPr>
          <w:p>
            <w:pPr>
              <w:spacing w:after="40" w:line="252" w:lineRule="auto"/>
            </w:pPr>
            <w:r>
              <w:rPr>
                <w:rFonts w:ascii="Calibri" w:hAnsi="Calibri"/>
                <w:b/>
                <w:color w:val="0B2545"/>
                <w:sz w:val="18"/>
              </w:rPr>
              <w:t>Owner</w:t>
            </w:r>
          </w:p>
        </w:tc>
        <w:tc>
          <w:tcPr>
            <w:tcW w:type="dxa" w:w="2410"/>
            <w:tcMar>
              <w:top w:w="80" w:type="dxa"/>
              <w:start w:w="120" w:type="dxa"/>
              <w:bottom w:w="80" w:type="dxa"/>
              <w:end w:w="120" w:type="dxa"/>
            </w:tcMar>
            <w:vAlign w:val="center"/>
            <w:shd w:fill="F4F6F9"/>
          </w:tcPr>
          <w:p>
            <w:pPr>
              <w:spacing w:after="40" w:line="252" w:lineRule="auto"/>
            </w:pPr>
            <w:r>
              <w:rPr>
                <w:rFonts w:ascii="Calibri" w:hAnsi="Calibri"/>
                <w:b/>
                <w:color w:val="0B2545"/>
                <w:sz w:val="18"/>
              </w:rPr>
              <w:t>Success signal</w:t>
            </w:r>
          </w:p>
        </w:tc>
      </w:tr>
      <w:tr>
        <w:tc>
          <w:tcPr>
            <w:tcW w:type="dxa" w:w="1200"/>
            <w:tcMar>
              <w:top w:w="80" w:type="dxa"/>
              <w:start w:w="120" w:type="dxa"/>
              <w:bottom w:w="80" w:type="dxa"/>
              <w:end w:w="120" w:type="dxa"/>
            </w:tcMar>
            <w:vAlign w:val="center"/>
          </w:tcPr>
          <w:p>
            <w:pPr>
              <w:spacing w:after="40" w:line="252" w:lineRule="auto"/>
            </w:pPr>
            <w:r>
              <w:rPr>
                <w:rFonts w:ascii="Calibri" w:hAnsi="Calibri"/>
                <w:b w:val="0"/>
                <w:color w:val="252B33"/>
                <w:sz w:val="18"/>
              </w:rPr>
              <w:t>Prepare</w:t>
            </w:r>
          </w:p>
        </w:tc>
        <w:tc>
          <w:tcPr>
            <w:tcW w:type="dxa" w:w="3850"/>
            <w:tcMar>
              <w:top w:w="80" w:type="dxa"/>
              <w:start w:w="120" w:type="dxa"/>
              <w:bottom w:w="80" w:type="dxa"/>
              <w:end w:w="120" w:type="dxa"/>
            </w:tcMar>
            <w:vAlign w:val="center"/>
          </w:tcPr>
          <w:p>
            <w:pPr>
              <w:spacing w:after="40" w:line="252" w:lineRule="auto"/>
            </w:pPr>
            <w:r>
              <w:rPr>
                <w:rFonts w:ascii="Calibri" w:hAnsi="Calibri"/>
                <w:b w:val="0"/>
                <w:color w:val="252B33"/>
                <w:sz w:val="18"/>
              </w:rPr>
              <w:t>Eligibility check, skills gap plan, profile readiness</w:t>
            </w:r>
          </w:p>
        </w:tc>
        <w:tc>
          <w:tcPr>
            <w:tcW w:type="dxa" w:w="1900"/>
            <w:tcMar>
              <w:top w:w="80" w:type="dxa"/>
              <w:start w:w="120" w:type="dxa"/>
              <w:bottom w:w="80" w:type="dxa"/>
              <w:end w:w="120" w:type="dxa"/>
            </w:tcMar>
            <w:vAlign w:val="center"/>
          </w:tcPr>
          <w:p>
            <w:pPr>
              <w:spacing w:after="40" w:line="252" w:lineRule="auto"/>
            </w:pPr>
            <w:r>
              <w:rPr>
                <w:rFonts w:ascii="Calibri" w:hAnsi="Calibri"/>
                <w:b w:val="0"/>
                <w:color w:val="252B33"/>
                <w:sz w:val="18"/>
              </w:rPr>
              <w:t>Student / institution</w:t>
            </w:r>
          </w:p>
        </w:tc>
        <w:tc>
          <w:tcPr>
            <w:tcW w:type="dxa" w:w="2410"/>
            <w:tcMar>
              <w:top w:w="80" w:type="dxa"/>
              <w:start w:w="120" w:type="dxa"/>
              <w:bottom w:w="80" w:type="dxa"/>
              <w:end w:w="120" w:type="dxa"/>
            </w:tcMar>
            <w:vAlign w:val="center"/>
          </w:tcPr>
          <w:p>
            <w:pPr>
              <w:spacing w:after="40" w:line="252" w:lineRule="auto"/>
            </w:pPr>
            <w:r>
              <w:rPr>
                <w:rFonts w:ascii="Calibri" w:hAnsi="Calibri"/>
                <w:b w:val="0"/>
                <w:color w:val="252B33"/>
                <w:sz w:val="18"/>
              </w:rPr>
              <w:t>Qualified candidate pool</w:t>
            </w:r>
          </w:p>
        </w:tc>
      </w:tr>
      <w:tr>
        <w:tc>
          <w:tcPr>
            <w:tcW w:type="dxa" w:w="1200"/>
            <w:tcMar>
              <w:top w:w="80" w:type="dxa"/>
              <w:start w:w="120" w:type="dxa"/>
              <w:bottom w:w="80" w:type="dxa"/>
              <w:end w:w="120" w:type="dxa"/>
            </w:tcMar>
            <w:vAlign w:val="center"/>
          </w:tcPr>
          <w:p>
            <w:pPr>
              <w:spacing w:after="40" w:line="252" w:lineRule="auto"/>
            </w:pPr>
            <w:r>
              <w:rPr>
                <w:rFonts w:ascii="Calibri" w:hAnsi="Calibri"/>
                <w:b w:val="0"/>
                <w:color w:val="252B33"/>
                <w:sz w:val="18"/>
              </w:rPr>
              <w:t>Match</w:t>
            </w:r>
          </w:p>
        </w:tc>
        <w:tc>
          <w:tcPr>
            <w:tcW w:type="dxa" w:w="3850"/>
            <w:tcMar>
              <w:top w:w="80" w:type="dxa"/>
              <w:start w:w="120" w:type="dxa"/>
              <w:bottom w:w="80" w:type="dxa"/>
              <w:end w:w="120" w:type="dxa"/>
            </w:tcMar>
            <w:vAlign w:val="center"/>
          </w:tcPr>
          <w:p>
            <w:pPr>
              <w:spacing w:after="40" w:line="252" w:lineRule="auto"/>
            </w:pPr>
            <w:r>
              <w:rPr>
                <w:rFonts w:ascii="Calibri" w:hAnsi="Calibri"/>
                <w:b w:val="0"/>
                <w:color w:val="252B33"/>
                <w:sz w:val="18"/>
              </w:rPr>
              <w:t>Role recommendations, applications, employer shortlist</w:t>
            </w:r>
          </w:p>
        </w:tc>
        <w:tc>
          <w:tcPr>
            <w:tcW w:type="dxa" w:w="1900"/>
            <w:tcMar>
              <w:top w:w="80" w:type="dxa"/>
              <w:start w:w="120" w:type="dxa"/>
              <w:bottom w:w="80" w:type="dxa"/>
              <w:end w:w="120" w:type="dxa"/>
            </w:tcMar>
            <w:vAlign w:val="center"/>
          </w:tcPr>
          <w:p>
            <w:pPr>
              <w:spacing w:after="40" w:line="252" w:lineRule="auto"/>
            </w:pPr>
            <w:r>
              <w:rPr>
                <w:rFonts w:ascii="Calibri" w:hAnsi="Calibri"/>
                <w:b w:val="0"/>
                <w:color w:val="252B33"/>
                <w:sz w:val="18"/>
              </w:rPr>
              <w:t>Student / employer</w:t>
            </w:r>
          </w:p>
        </w:tc>
        <w:tc>
          <w:tcPr>
            <w:tcW w:type="dxa" w:w="2410"/>
            <w:tcMar>
              <w:top w:w="80" w:type="dxa"/>
              <w:start w:w="120" w:type="dxa"/>
              <w:bottom w:w="80" w:type="dxa"/>
              <w:end w:w="120" w:type="dxa"/>
            </w:tcMar>
            <w:vAlign w:val="center"/>
          </w:tcPr>
          <w:p>
            <w:pPr>
              <w:spacing w:after="40" w:line="252" w:lineRule="auto"/>
            </w:pPr>
            <w:r>
              <w:rPr>
                <w:rFonts w:ascii="Calibri" w:hAnsi="Calibri"/>
                <w:b w:val="0"/>
                <w:color w:val="252B33"/>
                <w:sz w:val="18"/>
              </w:rPr>
              <w:t>Relevant applications</w:t>
            </w:r>
          </w:p>
        </w:tc>
      </w:tr>
      <w:tr>
        <w:tc>
          <w:tcPr>
            <w:tcW w:type="dxa" w:w="1200"/>
            <w:tcMar>
              <w:top w:w="80" w:type="dxa"/>
              <w:start w:w="120" w:type="dxa"/>
              <w:bottom w:w="80" w:type="dxa"/>
              <w:end w:w="120" w:type="dxa"/>
            </w:tcMar>
            <w:vAlign w:val="center"/>
          </w:tcPr>
          <w:p>
            <w:pPr>
              <w:spacing w:after="40" w:line="252" w:lineRule="auto"/>
            </w:pPr>
            <w:r>
              <w:rPr>
                <w:rFonts w:ascii="Calibri" w:hAnsi="Calibri"/>
                <w:b w:val="0"/>
                <w:color w:val="252B33"/>
                <w:sz w:val="18"/>
              </w:rPr>
              <w:t>Engage</w:t>
            </w:r>
          </w:p>
        </w:tc>
        <w:tc>
          <w:tcPr>
            <w:tcW w:type="dxa" w:w="3850"/>
            <w:tcMar>
              <w:top w:w="80" w:type="dxa"/>
              <w:start w:w="120" w:type="dxa"/>
              <w:bottom w:w="80" w:type="dxa"/>
              <w:end w:w="120" w:type="dxa"/>
            </w:tcMar>
            <w:vAlign w:val="center"/>
          </w:tcPr>
          <w:p>
            <w:pPr>
              <w:spacing w:after="40" w:line="252" w:lineRule="auto"/>
            </w:pPr>
            <w:r>
              <w:rPr>
                <w:rFonts w:ascii="Calibri" w:hAnsi="Calibri"/>
                <w:b w:val="0"/>
                <w:color w:val="252B33"/>
                <w:sz w:val="18"/>
              </w:rPr>
              <w:t>Learning plan, task log, mentor checkpoints</w:t>
            </w:r>
          </w:p>
        </w:tc>
        <w:tc>
          <w:tcPr>
            <w:tcW w:type="dxa" w:w="1900"/>
            <w:tcMar>
              <w:top w:w="80" w:type="dxa"/>
              <w:start w:w="120" w:type="dxa"/>
              <w:bottom w:w="80" w:type="dxa"/>
              <w:end w:w="120" w:type="dxa"/>
            </w:tcMar>
            <w:vAlign w:val="center"/>
          </w:tcPr>
          <w:p>
            <w:pPr>
              <w:spacing w:after="40" w:line="252" w:lineRule="auto"/>
            </w:pPr>
            <w:r>
              <w:rPr>
                <w:rFonts w:ascii="Calibri" w:hAnsi="Calibri"/>
                <w:b w:val="0"/>
                <w:color w:val="252B33"/>
                <w:sz w:val="18"/>
              </w:rPr>
              <w:t>Mentor / student</w:t>
            </w:r>
          </w:p>
        </w:tc>
        <w:tc>
          <w:tcPr>
            <w:tcW w:type="dxa" w:w="2410"/>
            <w:tcMar>
              <w:top w:w="80" w:type="dxa"/>
              <w:start w:w="120" w:type="dxa"/>
              <w:bottom w:w="80" w:type="dxa"/>
              <w:end w:w="120" w:type="dxa"/>
            </w:tcMar>
            <w:vAlign w:val="center"/>
          </w:tcPr>
          <w:p>
            <w:pPr>
              <w:spacing w:after="40" w:line="252" w:lineRule="auto"/>
            </w:pPr>
            <w:r>
              <w:rPr>
                <w:rFonts w:ascii="Calibri" w:hAnsi="Calibri"/>
                <w:b w:val="0"/>
                <w:color w:val="252B33"/>
                <w:sz w:val="18"/>
              </w:rPr>
              <w:t>Active evidence creation</w:t>
            </w:r>
          </w:p>
        </w:tc>
      </w:tr>
      <w:tr>
        <w:tc>
          <w:tcPr>
            <w:tcW w:type="dxa" w:w="1200"/>
            <w:tcMar>
              <w:top w:w="80" w:type="dxa"/>
              <w:start w:w="120" w:type="dxa"/>
              <w:bottom w:w="80" w:type="dxa"/>
              <w:end w:w="120" w:type="dxa"/>
            </w:tcMar>
            <w:vAlign w:val="center"/>
          </w:tcPr>
          <w:p>
            <w:pPr>
              <w:spacing w:after="40" w:line="252" w:lineRule="auto"/>
            </w:pPr>
            <w:r>
              <w:rPr>
                <w:rFonts w:ascii="Calibri" w:hAnsi="Calibri"/>
                <w:b w:val="0"/>
                <w:color w:val="252B33"/>
                <w:sz w:val="18"/>
              </w:rPr>
              <w:t>Evaluate</w:t>
            </w:r>
          </w:p>
        </w:tc>
        <w:tc>
          <w:tcPr>
            <w:tcW w:type="dxa" w:w="3850"/>
            <w:tcMar>
              <w:top w:w="80" w:type="dxa"/>
              <w:start w:w="120" w:type="dxa"/>
              <w:bottom w:w="80" w:type="dxa"/>
              <w:end w:w="120" w:type="dxa"/>
            </w:tcMar>
            <w:vAlign w:val="center"/>
          </w:tcPr>
          <w:p>
            <w:pPr>
              <w:spacing w:after="40" w:line="252" w:lineRule="auto"/>
            </w:pPr>
            <w:r>
              <w:rPr>
                <w:rFonts w:ascii="Calibri" w:hAnsi="Calibri"/>
                <w:b w:val="0"/>
                <w:color w:val="252B33"/>
                <w:sz w:val="18"/>
              </w:rPr>
              <w:t>Structured rubric, feedback, competency updates</w:t>
            </w:r>
          </w:p>
        </w:tc>
        <w:tc>
          <w:tcPr>
            <w:tcW w:type="dxa" w:w="1900"/>
            <w:tcMar>
              <w:top w:w="80" w:type="dxa"/>
              <w:start w:w="120" w:type="dxa"/>
              <w:bottom w:w="80" w:type="dxa"/>
              <w:end w:w="120" w:type="dxa"/>
            </w:tcMar>
            <w:vAlign w:val="center"/>
          </w:tcPr>
          <w:p>
            <w:pPr>
              <w:spacing w:after="40" w:line="252" w:lineRule="auto"/>
            </w:pPr>
            <w:r>
              <w:rPr>
                <w:rFonts w:ascii="Calibri" w:hAnsi="Calibri"/>
                <w:b w:val="0"/>
                <w:color w:val="252B33"/>
                <w:sz w:val="18"/>
              </w:rPr>
              <w:t>Employer / institution</w:t>
            </w:r>
          </w:p>
        </w:tc>
        <w:tc>
          <w:tcPr>
            <w:tcW w:type="dxa" w:w="2410"/>
            <w:tcMar>
              <w:top w:w="80" w:type="dxa"/>
              <w:start w:w="120" w:type="dxa"/>
              <w:bottom w:w="80" w:type="dxa"/>
              <w:end w:w="120" w:type="dxa"/>
            </w:tcMar>
            <w:vAlign w:val="center"/>
          </w:tcPr>
          <w:p>
            <w:pPr>
              <w:spacing w:after="40" w:line="252" w:lineRule="auto"/>
            </w:pPr>
            <w:r>
              <w:rPr>
                <w:rFonts w:ascii="Calibri" w:hAnsi="Calibri"/>
                <w:b w:val="0"/>
                <w:color w:val="252B33"/>
                <w:sz w:val="18"/>
              </w:rPr>
              <w:t>Verified skill progression</w:t>
            </w:r>
          </w:p>
        </w:tc>
      </w:tr>
      <w:tr>
        <w:tc>
          <w:tcPr>
            <w:tcW w:type="dxa" w:w="1200"/>
            <w:tcMar>
              <w:top w:w="80" w:type="dxa"/>
              <w:start w:w="120" w:type="dxa"/>
              <w:bottom w:w="80" w:type="dxa"/>
              <w:end w:w="120" w:type="dxa"/>
            </w:tcMar>
            <w:vAlign w:val="center"/>
          </w:tcPr>
          <w:p>
            <w:pPr>
              <w:spacing w:after="40" w:line="252" w:lineRule="auto"/>
            </w:pPr>
            <w:r>
              <w:rPr>
                <w:rFonts w:ascii="Calibri" w:hAnsi="Calibri"/>
                <w:b w:val="0"/>
                <w:color w:val="252B33"/>
                <w:sz w:val="18"/>
              </w:rPr>
              <w:t>Convert</w:t>
            </w:r>
          </w:p>
        </w:tc>
        <w:tc>
          <w:tcPr>
            <w:tcW w:type="dxa" w:w="3850"/>
            <w:tcMar>
              <w:top w:w="80" w:type="dxa"/>
              <w:start w:w="120" w:type="dxa"/>
              <w:bottom w:w="80" w:type="dxa"/>
              <w:end w:w="120" w:type="dxa"/>
            </w:tcMar>
            <w:vAlign w:val="center"/>
          </w:tcPr>
          <w:p>
            <w:pPr>
              <w:spacing w:after="40" w:line="252" w:lineRule="auto"/>
            </w:pPr>
            <w:r>
              <w:rPr>
                <w:rFonts w:ascii="Calibri" w:hAnsi="Calibri"/>
                <w:b w:val="0"/>
                <w:color w:val="252B33"/>
                <w:sz w:val="18"/>
              </w:rPr>
              <w:t>Offer workflow, placement record, alumni follow-up</w:t>
            </w:r>
          </w:p>
        </w:tc>
        <w:tc>
          <w:tcPr>
            <w:tcW w:type="dxa" w:w="1900"/>
            <w:tcMar>
              <w:top w:w="80" w:type="dxa"/>
              <w:start w:w="120" w:type="dxa"/>
              <w:bottom w:w="80" w:type="dxa"/>
              <w:end w:w="120" w:type="dxa"/>
            </w:tcMar>
            <w:vAlign w:val="center"/>
          </w:tcPr>
          <w:p>
            <w:pPr>
              <w:spacing w:after="40" w:line="252" w:lineRule="auto"/>
            </w:pPr>
            <w:r>
              <w:rPr>
                <w:rFonts w:ascii="Calibri" w:hAnsi="Calibri"/>
                <w:b w:val="0"/>
                <w:color w:val="252B33"/>
                <w:sz w:val="18"/>
              </w:rPr>
              <w:t>Employer / placement cell</w:t>
            </w:r>
          </w:p>
        </w:tc>
        <w:tc>
          <w:tcPr>
            <w:tcW w:type="dxa" w:w="2410"/>
            <w:tcMar>
              <w:top w:w="80" w:type="dxa"/>
              <w:start w:w="120" w:type="dxa"/>
              <w:bottom w:w="80" w:type="dxa"/>
              <w:end w:w="120" w:type="dxa"/>
            </w:tcMar>
            <w:vAlign w:val="center"/>
          </w:tcPr>
          <w:p>
            <w:pPr>
              <w:spacing w:after="40" w:line="252" w:lineRule="auto"/>
            </w:pPr>
            <w:r>
              <w:rPr>
                <w:rFonts w:ascii="Calibri" w:hAnsi="Calibri"/>
                <w:b w:val="0"/>
                <w:color w:val="252B33"/>
                <w:sz w:val="18"/>
              </w:rPr>
              <w:t>Internship-to-job conversion</w:t>
            </w:r>
          </w:p>
        </w:tc>
      </w:tr>
    </w:tbl>
    <w:p>
      <w:pPr>
        <w:pStyle w:val="Heading1"/>
        <w:keepNext/>
      </w:pPr>
      <w:r>
        <w:t>7. Placement Enablement</w:t>
      </w:r>
    </w:p>
    <w:p>
      <w:pPr>
        <w:pStyle w:val="ListBullet"/>
      </w:pPr>
      <w:r>
        <w:t>Role-based candidate discovery with transparent match explanations.</w:t>
      </w:r>
    </w:p>
    <w:p>
      <w:pPr>
        <w:pStyle w:val="ListBullet"/>
      </w:pPr>
      <w:r>
        <w:t>Employer-defined screening questions, assessment links, and interview scheduling.</w:t>
      </w:r>
    </w:p>
    <w:p>
      <w:pPr>
        <w:pStyle w:val="ListBullet"/>
      </w:pPr>
      <w:r>
        <w:t>Verified portfolio cards showing projects, skills evidence, and internship feedback.</w:t>
      </w:r>
    </w:p>
    <w:p>
      <w:pPr>
        <w:pStyle w:val="ListBullet"/>
      </w:pPr>
      <w:r>
        <w:t>Placement drive management: eligibility rules, application windows, and offer tracking.</w:t>
      </w:r>
    </w:p>
    <w:p>
      <w:pPr>
        <w:pStyle w:val="ListBullet"/>
      </w:pPr>
      <w:r>
        <w:t>Conversion analytics by program, cohort, company, role family, and skill cluster.</w:t>
      </w:r>
    </w:p>
    <w:p>
      <w:pPr>
        <w:pStyle w:val="Heading1"/>
        <w:keepNext/>
      </w:pPr>
      <w:r>
        <w:t>8. Data, Trust, and Governance</w:t>
      </w:r>
    </w:p>
    <w:p>
      <w:pPr/>
      <w:r>
        <w:t>The portal should operate with explicit consent and least-privilege access. Students control profile visibility and approve sharing beyond their institution. Institutions govern onboarding and data quality. Employers see only information needed to evaluate candidates and fulfill the stated opportunity.</w:t>
      </w:r>
    </w:p>
    <w:p>
      <w:pPr>
        <w:pStyle w:val="ListBullet"/>
      </w:pPr>
      <w:r>
        <w:t>Consent ledger for profile sharing, communications, and assessment use.</w:t>
      </w:r>
    </w:p>
    <w:p>
      <w:pPr>
        <w:pStyle w:val="ListBullet"/>
      </w:pPr>
      <w:r>
        <w:t>Role-based access controls for students, faculty, placement teams, employers, and administrators.</w:t>
      </w:r>
    </w:p>
    <w:p>
      <w:pPr>
        <w:pStyle w:val="ListBullet"/>
      </w:pPr>
      <w:r>
        <w:t>Audit logs for profile views, decisions, and exports.</w:t>
      </w:r>
    </w:p>
    <w:p>
      <w:pPr>
        <w:pStyle w:val="ListBullet"/>
      </w:pPr>
      <w:r>
        <w:t>Data retention rules aligned with institutional policy and applicable privacy requirements.</w:t>
      </w:r>
    </w:p>
    <w:p>
      <w:pPr>
        <w:pStyle w:val="ListBullet"/>
      </w:pPr>
      <w:r>
        <w:t>Fairness checks on matching outcomes with human-review paths.</w:t>
      </w:r>
    </w:p>
    <w:p>
      <w:r>
        <w:br w:type="page"/>
      </w:r>
    </w:p>
    <w:p>
      <w:pPr>
        <w:pStyle w:val="Heading1"/>
        <w:keepNext/>
      </w:pPr>
      <w:r>
        <w:t>9. Implementation Roadmap</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100"/>
            <w:tcMar>
              <w:top w:w="80" w:type="dxa"/>
              <w:start w:w="120" w:type="dxa"/>
              <w:bottom w:w="80" w:type="dxa"/>
              <w:end w:w="120" w:type="dxa"/>
            </w:tcMar>
            <w:vAlign w:val="center"/>
            <w:shd w:fill="F4F6F9"/>
          </w:tcPr>
          <w:p>
            <w:pPr>
              <w:spacing w:after="40" w:line="252" w:lineRule="auto"/>
            </w:pPr>
            <w:r>
              <w:rPr>
                <w:rFonts w:ascii="Calibri" w:hAnsi="Calibri"/>
                <w:b/>
                <w:color w:val="0B2545"/>
                <w:sz w:val="18"/>
              </w:rPr>
              <w:t>Phase</w:t>
            </w:r>
          </w:p>
        </w:tc>
        <w:tc>
          <w:tcPr>
            <w:tcW w:type="dxa" w:w="4400"/>
            <w:tcMar>
              <w:top w:w="80" w:type="dxa"/>
              <w:start w:w="120" w:type="dxa"/>
              <w:bottom w:w="80" w:type="dxa"/>
              <w:end w:w="120" w:type="dxa"/>
            </w:tcMar>
            <w:vAlign w:val="center"/>
            <w:shd w:fill="F4F6F9"/>
          </w:tcPr>
          <w:p>
            <w:pPr>
              <w:spacing w:after="40" w:line="252" w:lineRule="auto"/>
            </w:pPr>
            <w:r>
              <w:rPr>
                <w:rFonts w:ascii="Calibri" w:hAnsi="Calibri"/>
                <w:b/>
                <w:color w:val="0B2545"/>
                <w:sz w:val="18"/>
              </w:rPr>
              <w:t>Scope</w:t>
            </w:r>
          </w:p>
        </w:tc>
        <w:tc>
          <w:tcPr>
            <w:tcW w:type="dxa" w:w="2860"/>
            <w:tcMar>
              <w:top w:w="80" w:type="dxa"/>
              <w:start w:w="120" w:type="dxa"/>
              <w:bottom w:w="80" w:type="dxa"/>
              <w:end w:w="120" w:type="dxa"/>
            </w:tcMar>
            <w:vAlign w:val="center"/>
            <w:shd w:fill="F4F6F9"/>
          </w:tcPr>
          <w:p>
            <w:pPr>
              <w:spacing w:after="40" w:line="252" w:lineRule="auto"/>
            </w:pPr>
            <w:r>
              <w:rPr>
                <w:rFonts w:ascii="Calibri" w:hAnsi="Calibri"/>
                <w:b/>
                <w:color w:val="0B2545"/>
                <w:sz w:val="18"/>
              </w:rPr>
              <w:t>Indicative outcome</w:t>
            </w:r>
          </w:p>
        </w:tc>
      </w:tr>
      <w:tr>
        <w:tc>
          <w:tcPr>
            <w:tcW w:type="dxa" w:w="2100"/>
            <w:tcMar>
              <w:top w:w="80" w:type="dxa"/>
              <w:start w:w="120" w:type="dxa"/>
              <w:bottom w:w="80" w:type="dxa"/>
              <w:end w:w="120" w:type="dxa"/>
            </w:tcMar>
            <w:vAlign w:val="center"/>
          </w:tcPr>
          <w:p>
            <w:pPr>
              <w:spacing w:after="40" w:line="252" w:lineRule="auto"/>
            </w:pPr>
            <w:r>
              <w:rPr>
                <w:rFonts w:ascii="Calibri" w:hAnsi="Calibri"/>
                <w:b w:val="0"/>
                <w:color w:val="252B33"/>
                <w:sz w:val="18"/>
              </w:rPr>
              <w:t>Phase 1: Foundation (0-12 weeks)</w:t>
            </w:r>
          </w:p>
        </w:tc>
        <w:tc>
          <w:tcPr>
            <w:tcW w:type="dxa" w:w="4400"/>
            <w:tcMar>
              <w:top w:w="80" w:type="dxa"/>
              <w:start w:w="120" w:type="dxa"/>
              <w:bottom w:w="80" w:type="dxa"/>
              <w:end w:w="120" w:type="dxa"/>
            </w:tcMar>
            <w:vAlign w:val="center"/>
          </w:tcPr>
          <w:p>
            <w:pPr>
              <w:spacing w:after="40" w:line="252" w:lineRule="auto"/>
            </w:pPr>
            <w:r>
              <w:rPr>
                <w:rFonts w:ascii="Calibri" w:hAnsi="Calibri"/>
                <w:b w:val="0"/>
                <w:color w:val="252B33"/>
                <w:sz w:val="18"/>
              </w:rPr>
              <w:t>Identity, profiles, taxonomy, role blueprints, basic dashboards</w:t>
            </w:r>
          </w:p>
        </w:tc>
        <w:tc>
          <w:tcPr>
            <w:tcW w:type="dxa" w:w="2860"/>
            <w:tcMar>
              <w:top w:w="80" w:type="dxa"/>
              <w:start w:w="120" w:type="dxa"/>
              <w:bottom w:w="80" w:type="dxa"/>
              <w:end w:w="120" w:type="dxa"/>
            </w:tcMar>
            <w:vAlign w:val="center"/>
          </w:tcPr>
          <w:p>
            <w:pPr>
              <w:spacing w:after="40" w:line="252" w:lineRule="auto"/>
            </w:pPr>
            <w:r>
              <w:rPr>
                <w:rFonts w:ascii="Calibri" w:hAnsi="Calibri"/>
                <w:b w:val="0"/>
                <w:color w:val="252B33"/>
                <w:sz w:val="18"/>
              </w:rPr>
              <w:t>Reliable skills baseline and pilot-ready ecosystem</w:t>
            </w:r>
          </w:p>
        </w:tc>
      </w:tr>
      <w:tr>
        <w:tc>
          <w:tcPr>
            <w:tcW w:type="dxa" w:w="2100"/>
            <w:tcMar>
              <w:top w:w="80" w:type="dxa"/>
              <w:start w:w="120" w:type="dxa"/>
              <w:bottom w:w="80" w:type="dxa"/>
              <w:end w:w="120" w:type="dxa"/>
            </w:tcMar>
            <w:vAlign w:val="center"/>
          </w:tcPr>
          <w:p>
            <w:pPr>
              <w:spacing w:after="40" w:line="252" w:lineRule="auto"/>
            </w:pPr>
            <w:r>
              <w:rPr>
                <w:rFonts w:ascii="Calibri" w:hAnsi="Calibri"/>
                <w:b w:val="0"/>
                <w:color w:val="252B33"/>
                <w:sz w:val="18"/>
              </w:rPr>
              <w:t>Phase 2: Experiences (3-6 months)</w:t>
            </w:r>
          </w:p>
        </w:tc>
        <w:tc>
          <w:tcPr>
            <w:tcW w:type="dxa" w:w="4400"/>
            <w:tcMar>
              <w:top w:w="80" w:type="dxa"/>
              <w:start w:w="120" w:type="dxa"/>
              <w:bottom w:w="80" w:type="dxa"/>
              <w:end w:w="120" w:type="dxa"/>
            </w:tcMar>
            <w:vAlign w:val="center"/>
          </w:tcPr>
          <w:p>
            <w:pPr>
              <w:spacing w:after="40" w:line="252" w:lineRule="auto"/>
            </w:pPr>
            <w:r>
              <w:rPr>
                <w:rFonts w:ascii="Calibri" w:hAnsi="Calibri"/>
                <w:b w:val="0"/>
                <w:color w:val="252B33"/>
                <w:sz w:val="18"/>
              </w:rPr>
              <w:t>Internship marketplace, matching, applications, mentor workflow, evaluations</w:t>
            </w:r>
          </w:p>
        </w:tc>
        <w:tc>
          <w:tcPr>
            <w:tcW w:type="dxa" w:w="2860"/>
            <w:tcMar>
              <w:top w:w="80" w:type="dxa"/>
              <w:start w:w="120" w:type="dxa"/>
              <w:bottom w:w="80" w:type="dxa"/>
              <w:end w:w="120" w:type="dxa"/>
            </w:tcMar>
            <w:vAlign w:val="center"/>
          </w:tcPr>
          <w:p>
            <w:pPr>
              <w:spacing w:after="40" w:line="252" w:lineRule="auto"/>
            </w:pPr>
            <w:r>
              <w:rPr>
                <w:rFonts w:ascii="Calibri" w:hAnsi="Calibri"/>
                <w:b w:val="0"/>
                <w:color w:val="252B33"/>
                <w:sz w:val="18"/>
              </w:rPr>
              <w:t>Managed internship journeys and verified evidence</w:t>
            </w:r>
          </w:p>
        </w:tc>
      </w:tr>
      <w:tr>
        <w:tc>
          <w:tcPr>
            <w:tcW w:type="dxa" w:w="2100"/>
            <w:tcMar>
              <w:top w:w="80" w:type="dxa"/>
              <w:start w:w="120" w:type="dxa"/>
              <w:bottom w:w="80" w:type="dxa"/>
              <w:end w:w="120" w:type="dxa"/>
            </w:tcMar>
            <w:vAlign w:val="center"/>
          </w:tcPr>
          <w:p>
            <w:pPr>
              <w:spacing w:after="40" w:line="252" w:lineRule="auto"/>
            </w:pPr>
            <w:r>
              <w:rPr>
                <w:rFonts w:ascii="Calibri" w:hAnsi="Calibri"/>
                <w:b w:val="0"/>
                <w:color w:val="252B33"/>
                <w:sz w:val="18"/>
              </w:rPr>
              <w:t>Phase 3: Scale (6-12 months)</w:t>
            </w:r>
          </w:p>
        </w:tc>
        <w:tc>
          <w:tcPr>
            <w:tcW w:type="dxa" w:w="4400"/>
            <w:tcMar>
              <w:top w:w="80" w:type="dxa"/>
              <w:start w:w="120" w:type="dxa"/>
              <w:bottom w:w="80" w:type="dxa"/>
              <w:end w:w="120" w:type="dxa"/>
            </w:tcMar>
            <w:vAlign w:val="center"/>
          </w:tcPr>
          <w:p>
            <w:pPr>
              <w:spacing w:after="40" w:line="252" w:lineRule="auto"/>
            </w:pPr>
            <w:r>
              <w:rPr>
                <w:rFonts w:ascii="Calibri" w:hAnsi="Calibri"/>
                <w:b w:val="0"/>
                <w:color w:val="252B33"/>
                <w:sz w:val="18"/>
              </w:rPr>
              <w:t>Placement drives, advanced analytics, integrations, curriculum insight loops</w:t>
            </w:r>
          </w:p>
        </w:tc>
        <w:tc>
          <w:tcPr>
            <w:tcW w:type="dxa" w:w="2860"/>
            <w:tcMar>
              <w:top w:w="80" w:type="dxa"/>
              <w:start w:w="120" w:type="dxa"/>
              <w:bottom w:w="80" w:type="dxa"/>
              <w:end w:w="120" w:type="dxa"/>
            </w:tcMar>
            <w:vAlign w:val="center"/>
          </w:tcPr>
          <w:p>
            <w:pPr>
              <w:spacing w:after="40" w:line="252" w:lineRule="auto"/>
            </w:pPr>
            <w:r>
              <w:rPr>
                <w:rFonts w:ascii="Calibri" w:hAnsi="Calibri"/>
                <w:b w:val="0"/>
                <w:color w:val="252B33"/>
                <w:sz w:val="18"/>
              </w:rPr>
              <w:t>Scalable recruitment operations and outcome intelligence</w:t>
            </w:r>
          </w:p>
        </w:tc>
      </w:tr>
    </w:tbl>
    <w:p>
      <w:pPr>
        <w:pStyle w:val="Heading1"/>
        <w:keepNext/>
      </w:pPr>
      <w:r>
        <w:t>10. Success Measures</w:t>
      </w:r>
    </w:p>
    <w:p>
      <w:pPr/>
      <w:r>
        <w:t>A balanced scorecard tracks adoption, readiness, opportunity quality, and employment outcomes. Baselines are established during the pilot and targets agreed jointly with participating institutions and employers.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750"/>
            <w:tcMar>
              <w:top w:w="80" w:type="dxa"/>
              <w:start w:w="120" w:type="dxa"/>
              <w:bottom w:w="80" w:type="dxa"/>
              <w:end w:w="120" w:type="dxa"/>
            </w:tcMar>
            <w:vAlign w:val="center"/>
            <w:shd w:fill="F4F6F9"/>
          </w:tcPr>
          <w:p>
            <w:pPr>
              <w:spacing w:after="40" w:line="252" w:lineRule="auto"/>
            </w:pPr>
            <w:r>
              <w:rPr>
                <w:rFonts w:ascii="Calibri" w:hAnsi="Calibri"/>
                <w:b/>
                <w:color w:val="0B2545"/>
                <w:sz w:val="18"/>
              </w:rPr>
              <w:t>Dimension</w:t>
            </w:r>
          </w:p>
        </w:tc>
        <w:tc>
          <w:tcPr>
            <w:tcW w:type="dxa" w:w="4550"/>
            <w:tcMar>
              <w:top w:w="80" w:type="dxa"/>
              <w:start w:w="120" w:type="dxa"/>
              <w:bottom w:w="80" w:type="dxa"/>
              <w:end w:w="120" w:type="dxa"/>
            </w:tcMar>
            <w:vAlign w:val="center"/>
            <w:shd w:fill="F4F6F9"/>
          </w:tcPr>
          <w:p>
            <w:pPr>
              <w:spacing w:after="40" w:line="252" w:lineRule="auto"/>
            </w:pPr>
            <w:r>
              <w:rPr>
                <w:rFonts w:ascii="Calibri" w:hAnsi="Calibri"/>
                <w:b/>
                <w:color w:val="0B2545"/>
                <w:sz w:val="18"/>
              </w:rPr>
              <w:t>Illustrative metrics</w:t>
            </w:r>
          </w:p>
        </w:tc>
        <w:tc>
          <w:tcPr>
            <w:tcW w:type="dxa" w:w="3060"/>
            <w:tcMar>
              <w:top w:w="80" w:type="dxa"/>
              <w:start w:w="120" w:type="dxa"/>
              <w:bottom w:w="80" w:type="dxa"/>
              <w:end w:w="120" w:type="dxa"/>
            </w:tcMar>
            <w:vAlign w:val="center"/>
            <w:shd w:fill="F4F6F9"/>
          </w:tcPr>
          <w:p>
            <w:pPr>
              <w:spacing w:after="40" w:line="252" w:lineRule="auto"/>
            </w:pPr>
            <w:r>
              <w:rPr>
                <w:rFonts w:ascii="Calibri" w:hAnsi="Calibri"/>
                <w:b/>
                <w:color w:val="0B2545"/>
                <w:sz w:val="18"/>
              </w:rPr>
              <w:t>Decision use</w:t>
            </w:r>
          </w:p>
        </w:tc>
      </w:tr>
      <w:tr>
        <w:tc>
          <w:tcPr>
            <w:tcW w:type="dxa" w:w="1750"/>
            <w:tcMar>
              <w:top w:w="80" w:type="dxa"/>
              <w:start w:w="120" w:type="dxa"/>
              <w:bottom w:w="80" w:type="dxa"/>
              <w:end w:w="120" w:type="dxa"/>
            </w:tcMar>
            <w:vAlign w:val="center"/>
          </w:tcPr>
          <w:p>
            <w:pPr>
              <w:spacing w:after="40" w:line="252" w:lineRule="auto"/>
            </w:pPr>
            <w:r>
              <w:rPr>
                <w:rFonts w:ascii="Calibri" w:hAnsi="Calibri"/>
                <w:b w:val="0"/>
                <w:color w:val="252B33"/>
                <w:sz w:val="18"/>
              </w:rPr>
              <w:t>Adoption</w:t>
            </w:r>
          </w:p>
        </w:tc>
        <w:tc>
          <w:tcPr>
            <w:tcW w:type="dxa" w:w="4550"/>
            <w:tcMar>
              <w:top w:w="80" w:type="dxa"/>
              <w:start w:w="120" w:type="dxa"/>
              <w:bottom w:w="80" w:type="dxa"/>
              <w:end w:w="120" w:type="dxa"/>
            </w:tcMar>
            <w:vAlign w:val="center"/>
          </w:tcPr>
          <w:p>
            <w:pPr>
              <w:spacing w:after="40" w:line="252" w:lineRule="auto"/>
            </w:pPr>
            <w:r>
              <w:rPr>
                <w:rFonts w:ascii="Calibri" w:hAnsi="Calibri"/>
                <w:b w:val="0"/>
                <w:color w:val="252B33"/>
                <w:sz w:val="18"/>
              </w:rPr>
              <w:t>Active students; employer participation; complete profiles; mentor engagement</w:t>
            </w:r>
          </w:p>
        </w:tc>
        <w:tc>
          <w:tcPr>
            <w:tcW w:type="dxa" w:w="3060"/>
            <w:tcMar>
              <w:top w:w="80" w:type="dxa"/>
              <w:start w:w="120" w:type="dxa"/>
              <w:bottom w:w="80" w:type="dxa"/>
              <w:end w:w="120" w:type="dxa"/>
            </w:tcMar>
            <w:vAlign w:val="center"/>
          </w:tcPr>
          <w:p>
            <w:pPr>
              <w:spacing w:after="40" w:line="252" w:lineRule="auto"/>
            </w:pPr>
            <w:r>
              <w:rPr>
                <w:rFonts w:ascii="Calibri" w:hAnsi="Calibri"/>
                <w:b w:val="0"/>
                <w:color w:val="252B33"/>
                <w:sz w:val="18"/>
              </w:rPr>
              <w:t>Validate platform usefulness</w:t>
            </w:r>
          </w:p>
        </w:tc>
      </w:tr>
      <w:tr>
        <w:tc>
          <w:tcPr>
            <w:tcW w:type="dxa" w:w="1750"/>
            <w:tcMar>
              <w:top w:w="80" w:type="dxa"/>
              <w:start w:w="120" w:type="dxa"/>
              <w:bottom w:w="80" w:type="dxa"/>
              <w:end w:w="120" w:type="dxa"/>
            </w:tcMar>
            <w:vAlign w:val="center"/>
          </w:tcPr>
          <w:p>
            <w:pPr>
              <w:spacing w:after="40" w:line="252" w:lineRule="auto"/>
            </w:pPr>
            <w:r>
              <w:rPr>
                <w:rFonts w:ascii="Calibri" w:hAnsi="Calibri"/>
                <w:b w:val="0"/>
                <w:color w:val="252B33"/>
                <w:sz w:val="18"/>
              </w:rPr>
              <w:t>Skills readiness</w:t>
            </w:r>
          </w:p>
        </w:tc>
        <w:tc>
          <w:tcPr>
            <w:tcW w:type="dxa" w:w="4550"/>
            <w:tcMar>
              <w:top w:w="80" w:type="dxa"/>
              <w:start w:w="120" w:type="dxa"/>
              <w:bottom w:w="80" w:type="dxa"/>
              <w:end w:w="120" w:type="dxa"/>
            </w:tcMar>
            <w:vAlign w:val="center"/>
          </w:tcPr>
          <w:p>
            <w:pPr>
              <w:spacing w:after="40" w:line="252" w:lineRule="auto"/>
            </w:pPr>
            <w:r>
              <w:rPr>
                <w:rFonts w:ascii="Calibri" w:hAnsi="Calibri"/>
                <w:b w:val="0"/>
                <w:color w:val="252B33"/>
                <w:sz w:val="18"/>
              </w:rPr>
              <w:t>Role-aligned readiness; gap closure; verified evidence completion</w:t>
            </w:r>
          </w:p>
        </w:tc>
        <w:tc>
          <w:tcPr>
            <w:tcW w:type="dxa" w:w="3060"/>
            <w:tcMar>
              <w:top w:w="80" w:type="dxa"/>
              <w:start w:w="120" w:type="dxa"/>
              <w:bottom w:w="80" w:type="dxa"/>
              <w:end w:w="120" w:type="dxa"/>
            </w:tcMar>
            <w:vAlign w:val="center"/>
          </w:tcPr>
          <w:p>
            <w:pPr>
              <w:spacing w:after="40" w:line="252" w:lineRule="auto"/>
            </w:pPr>
            <w:r>
              <w:rPr>
                <w:rFonts w:ascii="Calibri" w:hAnsi="Calibri"/>
                <w:b w:val="0"/>
                <w:color w:val="252B33"/>
                <w:sz w:val="18"/>
              </w:rPr>
              <w:t>Target learning and support</w:t>
            </w:r>
          </w:p>
        </w:tc>
      </w:tr>
      <w:tr>
        <w:tc>
          <w:tcPr>
            <w:tcW w:type="dxa" w:w="1750"/>
            <w:tcMar>
              <w:top w:w="80" w:type="dxa"/>
              <w:start w:w="120" w:type="dxa"/>
              <w:bottom w:w="80" w:type="dxa"/>
              <w:end w:w="120" w:type="dxa"/>
            </w:tcMar>
            <w:vAlign w:val="center"/>
          </w:tcPr>
          <w:p>
            <w:pPr>
              <w:spacing w:after="40" w:line="252" w:lineRule="auto"/>
            </w:pPr>
            <w:r>
              <w:rPr>
                <w:rFonts w:ascii="Calibri" w:hAnsi="Calibri"/>
                <w:b w:val="0"/>
                <w:color w:val="252B33"/>
                <w:sz w:val="18"/>
              </w:rPr>
              <w:t>Internships</w:t>
            </w:r>
          </w:p>
        </w:tc>
        <w:tc>
          <w:tcPr>
            <w:tcW w:type="dxa" w:w="4550"/>
            <w:tcMar>
              <w:top w:w="80" w:type="dxa"/>
              <w:start w:w="120" w:type="dxa"/>
              <w:bottom w:w="80" w:type="dxa"/>
              <w:end w:w="120" w:type="dxa"/>
            </w:tcMar>
            <w:vAlign w:val="center"/>
          </w:tcPr>
          <w:p>
            <w:pPr>
              <w:spacing w:after="40" w:line="252" w:lineRule="auto"/>
            </w:pPr>
            <w:r>
              <w:rPr>
                <w:rFonts w:ascii="Calibri" w:hAnsi="Calibri"/>
                <w:b w:val="0"/>
                <w:color w:val="252B33"/>
                <w:sz w:val="18"/>
              </w:rPr>
              <w:t>Application-to-match rate; completion rate; mentor ratings; conversion rate</w:t>
            </w:r>
          </w:p>
        </w:tc>
        <w:tc>
          <w:tcPr>
            <w:tcW w:type="dxa" w:w="3060"/>
            <w:tcMar>
              <w:top w:w="80" w:type="dxa"/>
              <w:start w:w="120" w:type="dxa"/>
              <w:bottom w:w="80" w:type="dxa"/>
              <w:end w:w="120" w:type="dxa"/>
            </w:tcMar>
            <w:vAlign w:val="center"/>
          </w:tcPr>
          <w:p>
            <w:pPr>
              <w:spacing w:after="40" w:line="252" w:lineRule="auto"/>
            </w:pPr>
            <w:r>
              <w:rPr>
                <w:rFonts w:ascii="Calibri" w:hAnsi="Calibri"/>
                <w:b w:val="0"/>
                <w:color w:val="252B33"/>
                <w:sz w:val="18"/>
              </w:rPr>
              <w:t>Improve opportunity quality</w:t>
            </w:r>
          </w:p>
        </w:tc>
      </w:tr>
      <w:tr>
        <w:tc>
          <w:tcPr>
            <w:tcW w:type="dxa" w:w="1750"/>
            <w:tcMar>
              <w:top w:w="80" w:type="dxa"/>
              <w:start w:w="120" w:type="dxa"/>
              <w:bottom w:w="80" w:type="dxa"/>
              <w:end w:w="120" w:type="dxa"/>
            </w:tcMar>
            <w:vAlign w:val="center"/>
          </w:tcPr>
          <w:p>
            <w:pPr>
              <w:spacing w:after="40" w:line="252" w:lineRule="auto"/>
            </w:pPr>
            <w:r>
              <w:rPr>
                <w:rFonts w:ascii="Calibri" w:hAnsi="Calibri"/>
                <w:b w:val="0"/>
                <w:color w:val="252B33"/>
                <w:sz w:val="18"/>
              </w:rPr>
              <w:t>Placements</w:t>
            </w:r>
          </w:p>
        </w:tc>
        <w:tc>
          <w:tcPr>
            <w:tcW w:type="dxa" w:w="4550"/>
            <w:tcMar>
              <w:top w:w="80" w:type="dxa"/>
              <w:start w:w="120" w:type="dxa"/>
              <w:bottom w:w="80" w:type="dxa"/>
              <w:end w:w="120" w:type="dxa"/>
            </w:tcMar>
            <w:vAlign w:val="center"/>
          </w:tcPr>
          <w:p>
            <w:pPr>
              <w:spacing w:after="40" w:line="252" w:lineRule="auto"/>
            </w:pPr>
            <w:r>
              <w:rPr>
                <w:rFonts w:ascii="Calibri" w:hAnsi="Calibri"/>
                <w:b w:val="0"/>
                <w:color w:val="252B33"/>
                <w:sz w:val="18"/>
              </w:rPr>
              <w:t>Interview rate; offer rate; time to placement; salary band distribution</w:t>
            </w:r>
          </w:p>
        </w:tc>
        <w:tc>
          <w:tcPr>
            <w:tcW w:type="dxa" w:w="3060"/>
            <w:tcMar>
              <w:top w:w="80" w:type="dxa"/>
              <w:start w:w="120" w:type="dxa"/>
              <w:bottom w:w="80" w:type="dxa"/>
              <w:end w:w="120" w:type="dxa"/>
            </w:tcMar>
            <w:vAlign w:val="center"/>
          </w:tcPr>
          <w:p>
            <w:pPr>
              <w:spacing w:after="40" w:line="252" w:lineRule="auto"/>
            </w:pPr>
            <w:r>
              <w:rPr>
                <w:rFonts w:ascii="Calibri" w:hAnsi="Calibri"/>
                <w:b w:val="0"/>
                <w:color w:val="252B33"/>
                <w:sz w:val="18"/>
              </w:rPr>
              <w:t>Measure employment impact</w:t>
            </w:r>
          </w:p>
        </w:tc>
      </w:tr>
      <w:tr>
        <w:tc>
          <w:tcPr>
            <w:tcW w:type="dxa" w:w="1750"/>
            <w:tcMar>
              <w:top w:w="80" w:type="dxa"/>
              <w:start w:w="120" w:type="dxa"/>
              <w:bottom w:w="80" w:type="dxa"/>
              <w:end w:w="120" w:type="dxa"/>
            </w:tcMar>
            <w:vAlign w:val="center"/>
          </w:tcPr>
          <w:p>
            <w:pPr>
              <w:spacing w:after="40" w:line="252" w:lineRule="auto"/>
            </w:pPr>
            <w:r>
              <w:rPr>
                <w:rFonts w:ascii="Calibri" w:hAnsi="Calibri"/>
                <w:b w:val="0"/>
                <w:color w:val="252B33"/>
                <w:sz w:val="18"/>
              </w:rPr>
              <w:t>Curriculum insight</w:t>
            </w:r>
          </w:p>
        </w:tc>
        <w:tc>
          <w:tcPr>
            <w:tcW w:type="dxa" w:w="4550"/>
            <w:tcMar>
              <w:top w:w="80" w:type="dxa"/>
              <w:start w:w="120" w:type="dxa"/>
              <w:bottom w:w="80" w:type="dxa"/>
              <w:end w:w="120" w:type="dxa"/>
            </w:tcMar>
            <w:vAlign w:val="center"/>
          </w:tcPr>
          <w:p>
            <w:pPr>
              <w:spacing w:after="40" w:line="252" w:lineRule="auto"/>
            </w:pPr>
            <w:r>
              <w:rPr>
                <w:rFonts w:ascii="Calibri" w:hAnsi="Calibri"/>
                <w:b w:val="0"/>
                <w:color w:val="252B33"/>
                <w:sz w:val="18"/>
              </w:rPr>
              <w:t>Recurring gaps by cohort and role; employer satisfaction</w:t>
            </w:r>
          </w:p>
        </w:tc>
        <w:tc>
          <w:tcPr>
            <w:tcW w:type="dxa" w:w="3060"/>
            <w:tcMar>
              <w:top w:w="80" w:type="dxa"/>
              <w:start w:w="120" w:type="dxa"/>
              <w:bottom w:w="80" w:type="dxa"/>
              <w:end w:w="120" w:type="dxa"/>
            </w:tcMar>
            <w:vAlign w:val="center"/>
          </w:tcPr>
          <w:p>
            <w:pPr>
              <w:spacing w:after="40" w:line="252" w:lineRule="auto"/>
            </w:pPr>
            <w:r>
              <w:rPr>
                <w:rFonts w:ascii="Calibri" w:hAnsi="Calibri"/>
                <w:b w:val="0"/>
                <w:color w:val="252B33"/>
                <w:sz w:val="18"/>
              </w:rPr>
              <w:t>Inform curriculum and partnerships</w:t>
            </w:r>
          </w:p>
        </w:tc>
      </w:tr>
    </w:tbl>
    <w:p>
      <w:pPr>
        <w:pStyle w:val="Heading1"/>
        <w:keepNext/>
      </w:pPr>
      <w:r>
        <w:t>11. Pilot Proposal</w:t>
      </w:r>
    </w:p>
    <w:p>
      <w:pPr/>
      <w:r>
        <w:t>Launch with one institution, 3-5 academic programs, and a curated employer cohort representing priority role families. Start with final-year and pre-final-year students, using existing student and placement data where appropriate.</w:t>
      </w:r>
    </w:p>
    <w:p>
      <w:pPr>
        <w:pStyle w:val="ListBullet"/>
      </w:pPr>
      <w:r>
        <w:t>Configured skills taxonomy and 10-15 employer-approved role blueprints.</w:t>
      </w:r>
    </w:p>
    <w:p>
      <w:pPr>
        <w:pStyle w:val="ListBullet"/>
      </w:pPr>
      <w:r>
        <w:t>Student onboarding and portfolio completion campaign.</w:t>
      </w:r>
    </w:p>
    <w:p>
      <w:pPr>
        <w:pStyle w:val="ListBullet"/>
      </w:pPr>
      <w:r>
        <w:t>Internship and project marketplace with a shared evaluation rubric.</w:t>
      </w:r>
    </w:p>
    <w:p>
      <w:pPr>
        <w:pStyle w:val="ListBullet"/>
      </w:pPr>
      <w:r>
        <w:t>Placement readiness dashboard for students and placement teams.</w:t>
      </w:r>
    </w:p>
    <w:p>
      <w:pPr>
        <w:pStyle w:val="ListBullet"/>
      </w:pPr>
      <w:r>
        <w:t>Pilot outcome report with scale, integration, and governance recommendations.</w:t>
      </w:r>
    </w:p>
    <w:p>
      <w:pPr>
        <w:pStyle w:val="Heading1"/>
        <w:keepNext/>
      </w:pPr>
      <w:r>
        <w:t>12. Conclusion</w:t>
      </w:r>
    </w:p>
    <w:p>
      <w:pPr/>
      <w:r>
        <w:t>By making skills visible, internships measurable, and placements evidence-based, this portal bridges learning and work. It enables institutions and employers to collaborate continuously rather than only at recruitment time, creating a more prepared talent pipeline and a clearer student journey.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6"/>
      </w:rPr>
      <w:t>Proposed Solution | Confidential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7"/>
      </w:rPr>
      <w:t>ACADEMIA-INDUSTRY COLLABORATION PORTAL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 Academia-Industry Collaboration Portal</dc:title>
  <dc:subject>Skill mapping, internships, and placement enablement</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