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65B45"/>
          <w:sz w:val="20"/>
          <w:szCs w:val="20"/>
        </w:rPr>
        <w:t xml:space="preserve">WealthWin Website</w:t>
      </w:r>
    </w:p>
    <w:p>
      <w:pPr>
        <w:spacing w:after="60"/>
      </w:pPr>
      <w:r>
        <w:rPr>
          <w:b/>
          <w:bCs/>
          <w:color w:val="0D0B46"/>
          <w:sz w:val="40"/>
          <w:szCs w:val="40"/>
        </w:rPr>
        <w:t xml:space="preserve">Information Needed From Client</w:t>
      </w:r>
    </w:p>
    <w:p>
      <w:pPr>
        <w:pBdr>
          <w:bottom w:val="single" w:color="C65B45" w:sz="12" w:space="6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C1B33"/>
          <w:sz w:val="20"/>
          <w:szCs w:val="20"/>
        </w:rPr>
        <w:t xml:space="preserve">All written content from the provided document is already on the site — nothing is missing (119 of 119 content points verified). The items below are the real data and assets needed to replace placeholders before the site goes live.</w:t>
      </w:r>
    </w:p>
    <w:p>
      <w:pPr>
        <w:spacing w:after="200"/>
      </w:pPr>
      <w:r>
        <w:rPr>
          <w:b w:val="false"/>
          <w:bCs w:val="false"/>
          <w:i/>
          <w:iCs/>
          <w:color w:val="5A5A6E"/>
          <w:sz w:val="20"/>
          <w:szCs w:val="20"/>
        </w:rPr>
        <w:t xml:space="preserve">Last updated: 8 September 2026</w:t>
      </w:r>
    </w:p>
    <w:p>
      <w:pPr>
        <w:spacing w:after="140" w:before="320"/>
      </w:pPr>
      <w:r>
        <w:rPr>
          <w:b/>
          <w:bCs/>
          <w:color w:val="0D0B46"/>
          <w:sz w:val="26"/>
          <w:szCs w:val="26"/>
        </w:rPr>
        <w:t xml:space="preserve">Essentials — needed to go live</w:t>
      </w:r>
    </w:p>
    <w:tbl>
      <w:tblPr>
        <w:tblW w:type="dxa" w:w="9360"/>
        <w:tblBorders>
          <w:top w:val="single" w:color="D9D6CF" w:sz="2"/>
          <w:left w:val="single" w:color="D9D6CF" w:sz="2"/>
          <w:bottom w:val="single" w:color="D9D6CF" w:sz="2"/>
          <w:right w:val="single" w:color="D9D6CF" w:sz="2"/>
          <w:insideH w:val="single" w:color="E4E1DA" w:sz="2"/>
          <w:insideV w:val="single" w:color="E4E1DA" w:sz="2"/>
        </w:tblBorders>
      </w:tblPr>
      <w:tblGrid>
        <w:gridCol w:w="620"/>
        <w:gridCol w:w="2400"/>
        <w:gridCol w:w="3640"/>
        <w:gridCol w:w="2700"/>
      </w:tblGrid>
      <w:tr>
        <w:trPr>
          <w:tblHeader/>
        </w:trPr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appears now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need</w:t>
            </w:r>
          </w:p>
        </w:tc>
      </w:tr>
      <w:tr>
        <w:tc>
          <w:tcPr>
            <w:tcW w:type="dxa" w:w="6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Contact details</w:t>
            </w:r>
          </w:p>
        </w:tc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Footer (all pages) + Let’s Talk page — shown as [Your address], [your email], [your phone]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Business address, email, phone</w:t>
            </w:r>
          </w:p>
        </w:tc>
      </w:tr>
      <w:tr>
        <w:tc>
          <w:tcPr>
            <w:tcW w:type="dxa" w:w="62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Photo of Toral</w:t>
            </w:r>
          </w:p>
        </w:tc>
        <w:tc>
          <w:tcPr>
            <w:tcW w:type="dxa" w:w="364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Home “Meet Your Planner” + About page — currently a stock portrait</w:t>
            </w:r>
          </w:p>
        </w:tc>
        <w:tc>
          <w:tcPr>
            <w:tcW w:type="dxa" w:w="27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Toral Somaiya’s professional headshot</w:t>
            </w:r>
          </w:p>
        </w:tc>
      </w:tr>
      <w:tr>
        <w:tc>
          <w:tcPr>
            <w:tcW w:type="dxa" w:w="6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Logo &amp; favicon</w:t>
            </w:r>
          </w:p>
        </w:tc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Header shows the text “WealthWin”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Logo file (SVG/PNG) and favicon, if available</w:t>
            </w:r>
          </w:p>
        </w:tc>
      </w:tr>
      <w:tr>
        <w:tc>
          <w:tcPr>
            <w:tcW w:type="dxa" w:w="62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Form destination</w:t>
            </w:r>
          </w:p>
        </w:tc>
        <w:tc>
          <w:tcPr>
            <w:tcW w:type="dxa" w:w="364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Contact / consultation forms are display-only (don’t send anywhere yet)</w:t>
            </w:r>
          </w:p>
        </w:tc>
        <w:tc>
          <w:tcPr>
            <w:tcW w:type="dxa" w:w="27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Where enquiries should go — an email inbox (Formspree/EmailJS) or a CRM / Calendly booking link</w:t>
            </w:r>
          </w:p>
        </w:tc>
      </w:tr>
    </w:tbl>
    <w:p>
      <w:pPr>
        <w:spacing w:after="140" w:before="320"/>
      </w:pPr>
      <w:r>
        <w:rPr>
          <w:b/>
          <w:bCs/>
          <w:color w:val="0D0B46"/>
          <w:sz w:val="26"/>
          <w:szCs w:val="26"/>
        </w:rPr>
        <w:t xml:space="preserve">Compliance — important for a financial site</w:t>
      </w:r>
    </w:p>
    <w:tbl>
      <w:tblPr>
        <w:tblW w:type="dxa" w:w="9360"/>
        <w:tblBorders>
          <w:top w:val="single" w:color="D9D6CF" w:sz="2"/>
          <w:left w:val="single" w:color="D9D6CF" w:sz="2"/>
          <w:bottom w:val="single" w:color="D9D6CF" w:sz="2"/>
          <w:right w:val="single" w:color="D9D6CF" w:sz="2"/>
          <w:insideH w:val="single" w:color="E4E1DA" w:sz="2"/>
          <w:insideV w:val="single" w:color="E4E1DA" w:sz="2"/>
        </w:tblBorders>
      </w:tblPr>
      <w:tblGrid>
        <w:gridCol w:w="620"/>
        <w:gridCol w:w="2400"/>
        <w:gridCol w:w="3640"/>
        <w:gridCol w:w="2700"/>
      </w:tblGrid>
      <w:tr>
        <w:trPr>
          <w:tblHeader/>
        </w:trPr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appears now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need</w:t>
            </w:r>
          </w:p>
        </w:tc>
      </w:tr>
      <w:tr>
        <w:tc>
          <w:tcPr>
            <w:tcW w:type="dxa" w:w="6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Legal pages</w:t>
            </w:r>
          </w:p>
        </w:tc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Footer links (Accessibility, Terms, Privacy) point to placeholder links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Actual text for each page</w:t>
            </w:r>
          </w:p>
        </w:tc>
      </w:tr>
      <w:tr>
        <w:tc>
          <w:tcPr>
            <w:tcW w:type="dxa" w:w="62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Regulatory disclosure</w:t>
            </w:r>
          </w:p>
        </w:tc>
        <w:tc>
          <w:tcPr>
            <w:tcW w:type="dxa" w:w="364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Site mentions Mutual Funds, PMS, SIF, GIFT City, Insurance</w:t>
            </w:r>
          </w:p>
        </w:tc>
        <w:tc>
          <w:tcPr>
            <w:tcW w:type="dxa" w:w="27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Registration numbers (SEBI RIA / AMFI ARN, as applicable) + standard risk disclaimer text</w:t>
            </w:r>
          </w:p>
        </w:tc>
      </w:tr>
    </w:tbl>
    <w:p>
      <w:pPr>
        <w:spacing w:after="140" w:before="320"/>
      </w:pPr>
      <w:r>
        <w:rPr>
          <w:b/>
          <w:bCs/>
          <w:color w:val="0D0B46"/>
          <w:sz w:val="26"/>
          <w:szCs w:val="26"/>
        </w:rPr>
        <w:t xml:space="preserve">Optional enhancements</w:t>
      </w:r>
    </w:p>
    <w:tbl>
      <w:tblPr>
        <w:tblW w:type="dxa" w:w="9360"/>
        <w:tblBorders>
          <w:top w:val="single" w:color="D9D6CF" w:sz="2"/>
          <w:left w:val="single" w:color="D9D6CF" w:sz="2"/>
          <w:bottom w:val="single" w:color="D9D6CF" w:sz="2"/>
          <w:right w:val="single" w:color="D9D6CF" w:sz="2"/>
          <w:insideH w:val="single" w:color="E4E1DA" w:sz="2"/>
          <w:insideV w:val="single" w:color="E4E1DA" w:sz="2"/>
        </w:tblBorders>
      </w:tblPr>
      <w:tblGrid>
        <w:gridCol w:w="620"/>
        <w:gridCol w:w="2400"/>
        <w:gridCol w:w="3640"/>
        <w:gridCol w:w="2700"/>
      </w:tblGrid>
      <w:tr>
        <w:trPr>
          <w:tblHeader/>
        </w:trPr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appears now</w:t>
            </w:r>
          </w:p>
        </w:tc>
        <w:tc>
          <w:tcPr>
            <w:tcW w:type="dxa" w:w="100"/>
            <w:shd w:fill="0D0B4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we need</w:t>
            </w:r>
          </w:p>
        </w:tc>
      </w:tr>
      <w:tr>
        <w:tc>
          <w:tcPr>
            <w:tcW w:type="dxa" w:w="6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Featured articles</w:t>
            </w:r>
          </w:p>
        </w:tc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Insights page shows 4 article titles as cards, no articles behind them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Article text if they should be readable — or confirm display-only</w:t>
            </w:r>
          </w:p>
        </w:tc>
      </w:tr>
      <w:tr>
        <w:tc>
          <w:tcPr>
            <w:tcW w:type="dxa" w:w="62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364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Home shows the values clients appreciate, not real quotes</w:t>
            </w:r>
          </w:p>
        </w:tc>
        <w:tc>
          <w:tcPr>
            <w:tcW w:type="dxa" w:w="27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Real testimonial quotes + names, if wanted</w:t>
            </w:r>
          </w:p>
        </w:tc>
      </w:tr>
      <w:tr>
        <w:tc>
          <w:tcPr>
            <w:tcW w:type="dxa" w:w="6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Niveshika details</w:t>
            </w:r>
          </w:p>
        </w:tc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Listed as “Customised wealth-building approach”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Fuller description or its own page/link, if it’s a named program</w:t>
            </w:r>
          </w:p>
        </w:tc>
      </w:tr>
      <w:tr>
        <w:tc>
          <w:tcPr>
            <w:tcW w:type="dxa" w:w="62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Social media links</w:t>
            </w:r>
          </w:p>
        </w:tc>
        <w:tc>
          <w:tcPr>
            <w:tcW w:type="dxa" w:w="364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None on the site</w:t>
            </w:r>
          </w:p>
        </w:tc>
        <w:tc>
          <w:tcPr>
            <w:tcW w:type="dxa" w:w="2700"/>
            <w:shd w:fill="F4F2E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LinkedIn / Instagram / YouTube URLs for the footer</w:t>
            </w:r>
          </w:p>
        </w:tc>
      </w:tr>
      <w:tr>
        <w:tc>
          <w:tcPr>
            <w:tcW w:type="dxa" w:w="6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65B45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C1B33"/>
                <w:sz w:val="18"/>
                <w:szCs w:val="18"/>
              </w:rPr>
              <w:t xml:space="preserve">Brand imagery</w:t>
            </w:r>
          </w:p>
        </w:tc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5A5A6E"/>
                <w:sz w:val="18"/>
                <w:szCs w:val="18"/>
              </w:rPr>
              <w:t xml:space="preserve">Cityscape &amp; finance photos are royalty-free stock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C1B33"/>
                <w:sz w:val="18"/>
                <w:szCs w:val="18"/>
              </w:rPr>
              <w:t xml:space="preserve">Own office / brand photos, if preferred over stock</w:t>
            </w:r>
          </w:p>
        </w:tc>
      </w:tr>
    </w:tbl>
    <w:p>
      <w:pPr>
        <w:spacing w:after="80" w:before="280"/>
      </w:pPr>
      <w:r>
        <w:rPr>
          <w:b/>
          <w:bCs/>
          <w:color w:val="0D0B46"/>
          <w:sz w:val="22"/>
          <w:szCs w:val="22"/>
        </w:rPr>
        <w:t xml:space="preserve">Priority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C1B33"/>
          <w:sz w:val="20"/>
          <w:szCs w:val="20"/>
        </w:rPr>
        <w:t xml:space="preserve">Items 1–4 are required to launch. 5–6 are important for a compliant advisory site. 7–11 are nice-to-have.</w:t>
      </w:r>
    </w:p>
    <w:p>
      <w:pPr>
        <w:spacing w:after="80" w:before="120"/>
      </w:pPr>
      <w:r>
        <w:rPr>
          <w:b/>
          <w:bCs/>
          <w:color w:val="0D0B46"/>
          <w:sz w:val="22"/>
          <w:szCs w:val="22"/>
        </w:rPr>
        <w:t xml:space="preserve">Note on current images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C1B33"/>
          <w:sz w:val="20"/>
          <w:szCs w:val="20"/>
        </w:rPr>
        <w:t xml:space="preserve">All photography is royalty-free from Unsplash (free to use). It can stay as-is or be swapped for the client’s own.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2026-09-08T13:24:57.197Z</dcterms:created>
  <dcterms:modified xsi:type="dcterms:W3CDTF">2026-09-08T13:24:57.198Z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