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00" w:before="0"/>
        <w:jc w:val="center"/>
      </w:pPr>
      <w:r>
        <w:rPr>
          <w:rFonts w:ascii="Times New Roman" w:hAnsi="Times New Roman"/>
          <w:b w:val="0"/>
          <w:i w:val="0"/>
          <w:sz w:val="44"/>
        </w:rPr>
        <w:t>How Well Do Tool Wear Rate Models for Die-Sinking EDM Transfer to a New Laboratory? A Leave-One-Paper-Out Evaluation on Data from Ten Published Studies</w:t>
      </w:r>
    </w:p>
    <w:tbl>
      <w:tblPr>
        <w:tblW w:type="auto" w:w="0"/>
        <w:jc w:val="center"/>
        <w:tblLook w:firstColumn="1" w:firstRow="1" w:lastColumn="0" w:lastRow="0" w:noHBand="0" w:noVBand="1" w:val="04A0"/>
      </w:tblPr>
      <w:tblGrid>
        <w:gridCol w:w="2613"/>
        <w:gridCol w:w="2613"/>
        <w:gridCol w:w="2613"/>
        <w:gridCol w:w="2613"/>
      </w:tblGrid>
      <w:tr>
        <w:tc>
          <w:tcPr>
            <w:tcW w:type="dxa" w:w="2613"/>
          </w:tcPr>
          <w:p>
            <w:pPr>
              <w:spacing w:after="0"/>
              <w:jc w:val="center"/>
            </w:pPr>
            <w:r/>
            <w:r>
              <w:rPr>
                <w:rFonts w:ascii="Times New Roman" w:hAnsi="Times New Roman"/>
                <w:b w:val="0"/>
                <w:i w:val="0"/>
                <w:sz w:val="20"/>
              </w:rPr>
              <w:t>Adithya D</w:t>
            </w:r>
          </w:p>
          <w:p>
            <w:pPr>
              <w:spacing w:after="0"/>
              <w:jc w:val="center"/>
            </w:pPr>
            <w:r>
              <w:rPr>
                <w:rFonts w:ascii="Times New Roman" w:hAnsi="Times New Roman"/>
                <w:b w:val="0"/>
                <w:i w:val="0"/>
                <w:sz w:val="18"/>
              </w:rPr>
              <w:t>Dept. of Information Science and Engineering</w:t>
            </w:r>
          </w:p>
          <w:p>
            <w:pPr>
              <w:spacing w:after="0"/>
              <w:jc w:val="center"/>
            </w:pPr>
            <w:r>
              <w:rPr>
                <w:rFonts w:ascii="Times New Roman" w:hAnsi="Times New Roman"/>
                <w:b w:val="0"/>
                <w:i w:val="0"/>
                <w:sz w:val="18"/>
              </w:rPr>
              <w:t>RV Institute of Technology and Management</w:t>
            </w:r>
          </w:p>
          <w:p>
            <w:pPr>
              <w:spacing w:after="0"/>
              <w:jc w:val="center"/>
            </w:pPr>
            <w:r>
              <w:rPr>
                <w:rFonts w:ascii="Times New Roman" w:hAnsi="Times New Roman"/>
                <w:b w:val="0"/>
                <w:i w:val="0"/>
                <w:sz w:val="18"/>
              </w:rPr>
              <w:t>Bengaluru, India</w:t>
            </w:r>
          </w:p>
          <w:p>
            <w:pPr>
              <w:spacing w:after="0"/>
              <w:jc w:val="center"/>
            </w:pPr>
            <w:r>
              <w:rPr>
                <w:rFonts w:ascii="Times New Roman" w:hAnsi="Times New Roman"/>
                <w:b w:val="0"/>
                <w:i w:val="0"/>
                <w:sz w:val="18"/>
              </w:rPr>
              <w:t>adithyadevaraj1001@gmail.com</w:t>
            </w:r>
          </w:p>
        </w:tc>
        <w:tc>
          <w:tcPr>
            <w:tcW w:type="dxa" w:w="2613"/>
          </w:tcPr>
          <w:p>
            <w:pPr>
              <w:spacing w:after="0"/>
              <w:jc w:val="center"/>
            </w:pPr>
            <w:r/>
            <w:r>
              <w:rPr>
                <w:rFonts w:ascii="Times New Roman" w:hAnsi="Times New Roman"/>
                <w:b w:val="0"/>
                <w:i w:val="0"/>
                <w:sz w:val="20"/>
              </w:rPr>
              <w:t>Billava Srujan Macha</w:t>
            </w:r>
          </w:p>
          <w:p>
            <w:pPr>
              <w:spacing w:after="0"/>
              <w:jc w:val="center"/>
            </w:pPr>
            <w:r>
              <w:rPr>
                <w:rFonts w:ascii="Times New Roman" w:hAnsi="Times New Roman"/>
                <w:b w:val="0"/>
                <w:i w:val="0"/>
                <w:sz w:val="18"/>
              </w:rPr>
              <w:t>Dept. of Information Science and Engineering</w:t>
            </w:r>
          </w:p>
          <w:p>
            <w:pPr>
              <w:spacing w:after="0"/>
              <w:jc w:val="center"/>
            </w:pPr>
            <w:r>
              <w:rPr>
                <w:rFonts w:ascii="Times New Roman" w:hAnsi="Times New Roman"/>
                <w:b w:val="0"/>
                <w:i w:val="0"/>
                <w:sz w:val="18"/>
              </w:rPr>
              <w:t>RV Institute of Technology and Management</w:t>
            </w:r>
          </w:p>
          <w:p>
            <w:pPr>
              <w:spacing w:after="0"/>
              <w:jc w:val="center"/>
            </w:pPr>
            <w:r>
              <w:rPr>
                <w:rFonts w:ascii="Times New Roman" w:hAnsi="Times New Roman"/>
                <w:b w:val="0"/>
                <w:i w:val="0"/>
                <w:sz w:val="18"/>
              </w:rPr>
              <w:t>Bengaluru, India</w:t>
            </w:r>
          </w:p>
          <w:p>
            <w:pPr>
              <w:spacing w:after="0"/>
              <w:jc w:val="center"/>
            </w:pPr>
            <w:r>
              <w:rPr>
                <w:rFonts w:ascii="Times New Roman" w:hAnsi="Times New Roman"/>
                <w:b w:val="0"/>
                <w:i w:val="0"/>
                <w:sz w:val="18"/>
              </w:rPr>
              <w:t>billavasrujan@gmail.com</w:t>
            </w:r>
          </w:p>
        </w:tc>
        <w:tc>
          <w:tcPr>
            <w:tcW w:type="dxa" w:w="2613"/>
          </w:tcPr>
          <w:p>
            <w:pPr>
              <w:spacing w:after="0"/>
              <w:jc w:val="center"/>
            </w:pPr>
            <w:r/>
            <w:r>
              <w:rPr>
                <w:rFonts w:ascii="Times New Roman" w:hAnsi="Times New Roman"/>
                <w:b w:val="0"/>
                <w:i w:val="0"/>
                <w:sz w:val="20"/>
              </w:rPr>
              <w:t>Ayush Singh</w:t>
            </w:r>
          </w:p>
          <w:p>
            <w:pPr>
              <w:spacing w:after="0"/>
              <w:jc w:val="center"/>
            </w:pPr>
            <w:r>
              <w:rPr>
                <w:rFonts w:ascii="Times New Roman" w:hAnsi="Times New Roman"/>
                <w:b w:val="0"/>
                <w:i w:val="0"/>
                <w:sz w:val="18"/>
              </w:rPr>
              <w:t>Dept. of Information Science and Engineering</w:t>
            </w:r>
          </w:p>
          <w:p>
            <w:pPr>
              <w:spacing w:after="0"/>
              <w:jc w:val="center"/>
            </w:pPr>
            <w:r>
              <w:rPr>
                <w:rFonts w:ascii="Times New Roman" w:hAnsi="Times New Roman"/>
                <w:b w:val="0"/>
                <w:i w:val="0"/>
                <w:sz w:val="18"/>
              </w:rPr>
              <w:t>RV Institute of Technology and Management</w:t>
            </w:r>
          </w:p>
          <w:p>
            <w:pPr>
              <w:spacing w:after="0"/>
              <w:jc w:val="center"/>
            </w:pPr>
            <w:r>
              <w:rPr>
                <w:rFonts w:ascii="Times New Roman" w:hAnsi="Times New Roman"/>
                <w:b w:val="0"/>
                <w:i w:val="0"/>
                <w:sz w:val="18"/>
              </w:rPr>
              <w:t>Bengaluru, India</w:t>
            </w:r>
          </w:p>
          <w:p>
            <w:pPr>
              <w:spacing w:after="0"/>
              <w:jc w:val="center"/>
            </w:pPr>
            <w:r>
              <w:rPr>
                <w:rFonts w:ascii="Times New Roman" w:hAnsi="Times New Roman"/>
                <w:b w:val="0"/>
                <w:i w:val="0"/>
                <w:sz w:val="18"/>
              </w:rPr>
              <w:t>ayushsingh10580@gmail.com</w:t>
            </w:r>
          </w:p>
        </w:tc>
        <w:tc>
          <w:tcPr>
            <w:tcW w:type="dxa" w:w="2613"/>
          </w:tcPr>
          <w:p>
            <w:pPr>
              <w:spacing w:after="0"/>
              <w:jc w:val="center"/>
            </w:pPr>
            <w:r/>
            <w:r>
              <w:rPr>
                <w:rFonts w:ascii="Times New Roman" w:hAnsi="Times New Roman"/>
                <w:b w:val="0"/>
                <w:i w:val="0"/>
                <w:sz w:val="20"/>
              </w:rPr>
              <w:t>Shanthala Kollur</w:t>
            </w:r>
          </w:p>
          <w:p>
            <w:pPr>
              <w:spacing w:after="0"/>
              <w:jc w:val="center"/>
            </w:pPr>
            <w:r>
              <w:rPr>
                <w:rFonts w:ascii="Times New Roman" w:hAnsi="Times New Roman"/>
                <w:b w:val="0"/>
                <w:i w:val="0"/>
                <w:sz w:val="18"/>
              </w:rPr>
              <w:t>Assistant Professor, Dept. of Mechanical Engineering</w:t>
            </w:r>
          </w:p>
          <w:p>
            <w:pPr>
              <w:spacing w:after="0"/>
              <w:jc w:val="center"/>
            </w:pPr>
            <w:r>
              <w:rPr>
                <w:rFonts w:ascii="Times New Roman" w:hAnsi="Times New Roman"/>
                <w:b w:val="0"/>
                <w:i w:val="0"/>
                <w:sz w:val="18"/>
              </w:rPr>
              <w:t>RV Institute of Technology and Management</w:t>
            </w:r>
          </w:p>
          <w:p>
            <w:pPr>
              <w:spacing w:after="0"/>
              <w:jc w:val="center"/>
            </w:pPr>
            <w:r>
              <w:rPr>
                <w:rFonts w:ascii="Times New Roman" w:hAnsi="Times New Roman"/>
                <w:b w:val="0"/>
                <w:i w:val="0"/>
                <w:sz w:val="18"/>
              </w:rPr>
              <w:t>Bengaluru, India</w:t>
            </w:r>
          </w:p>
          <w:p>
            <w:pPr>
              <w:spacing w:after="0"/>
              <w:jc w:val="center"/>
            </w:pPr>
            <w:r>
              <w:rPr>
                <w:rFonts w:ascii="Times New Roman" w:hAnsi="Times New Roman"/>
                <w:b w:val="0"/>
                <w:i w:val="0"/>
                <w:sz w:val="18"/>
              </w:rPr>
              <w:t>Kshanthala2@gmail.com</w:t>
            </w:r>
          </w:p>
        </w:tc>
      </w:tr>
    </w:tbl>
    <w:p>
      <w:pPr>
        <w:keepNext w:val="0"/>
        <w:spacing w:after="40" w:before="0"/>
        <w:jc w:val="both"/>
      </w:pPr>
    </w:p>
    <w:p>
      <w:pPr>
        <w:sectPr>
          <w:pgSz w:w="12240" w:h="15840"/>
          <w:pgMar w:top="1080" w:right="893" w:bottom="1440" w:left="893" w:header="720" w:footer="720" w:gutter="0"/>
          <w:cols w:space="720"/>
          <w:docGrid w:linePitch="360"/>
        </w:sectPr>
      </w:pPr>
    </w:p>
    <w:p>
      <w:pPr>
        <w:keepNext w:val="0"/>
        <w:spacing w:after="80" w:before="0"/>
        <w:jc w:val="both"/>
      </w:pPr>
      <w:r>
        <w:rPr>
          <w:rFonts w:ascii="Times New Roman" w:hAnsi="Times New Roman"/>
          <w:b/>
          <w:i w:val="0"/>
          <w:sz w:val="18"/>
        </w:rPr>
        <w:t>Abstract—</w:t>
      </w:r>
      <w:r>
        <w:rPr>
          <w:rFonts w:ascii="Times New Roman" w:hAnsi="Times New Roman"/>
          <w:b w:val="0"/>
          <w:i w:val="0"/>
          <w:sz w:val="18"/>
        </w:rPr>
        <w:t>Tool electrode wear limits the accuracy and cost of die-sinking electrical discharge machining (EDM). Machine learning models for EDM responses, including tool wear, are often reported with R</w:t>
      </w:r>
      <w:r>
        <w:rPr>
          <w:rFonts w:ascii="Times New Roman" w:hAnsi="Times New Roman"/>
          <w:b w:val="0"/>
          <w:i w:val="0"/>
          <w:sz w:val="18"/>
          <w:vertAlign w:val="superscript"/>
        </w:rPr>
        <w:t>2</w:t>
      </w:r>
      <w:r>
        <w:rPr>
          <w:rFonts w:ascii="Times New Roman" w:hAnsi="Times New Roman"/>
          <w:b w:val="0"/>
          <w:i w:val="0"/>
          <w:sz w:val="18"/>
        </w:rPr>
        <w:t xml:space="preserve"> above 0.95, but almost always on runs from a single experimental campaign. This work asks how well models of the tool wear rate (TWR) carry over to a study they have not seen. A dataset of 156 runs from 10 published studies (five electrode materials; titanium, steel and nickel-alloy workpieces) was compiled by parsing publisher XML or by typing tables that were then checked automatically against the source text. Ridge regression, random forest, XGBoost, a neural network, support vector regression and a stacked ensemble were trained on log</w:t>
      </w:r>
      <w:r>
        <w:rPr>
          <w:rFonts w:ascii="Times New Roman" w:hAnsi="Times New Roman"/>
          <w:b w:val="0"/>
          <w:i w:val="0"/>
          <w:sz w:val="18"/>
          <w:vertAlign w:val="subscript"/>
        </w:rPr>
        <w:t>10</w:t>
      </w:r>
      <w:r>
        <w:rPr>
          <w:rFonts w:ascii="Times New Roman" w:hAnsi="Times New Roman"/>
          <w:b w:val="0"/>
          <w:i w:val="0"/>
          <w:sz w:val="18"/>
        </w:rPr>
        <w:t>(TWR) with basic or physics-based inputs, with hyperparameters tuned inside the training data only. With random 5-fold cross-validation the best models reached R</w:t>
      </w:r>
      <w:r>
        <w:rPr>
          <w:rFonts w:ascii="Times New Roman" w:hAnsi="Times New Roman"/>
          <w:b w:val="0"/>
          <w:i w:val="0"/>
          <w:sz w:val="18"/>
          <w:vertAlign w:val="superscript"/>
        </w:rPr>
        <w:t>2</w:t>
      </w:r>
      <w:r>
        <w:rPr>
          <w:rFonts w:ascii="Times New Roman" w:hAnsi="Times New Roman"/>
          <w:b w:val="0"/>
          <w:i w:val="0"/>
          <w:sz w:val="18"/>
        </w:rPr>
        <w:t xml:space="preserve"> = 0.61. With leave-one-paper-out validation only ridge regression scored above zero, and barely (R</w:t>
      </w:r>
      <w:r>
        <w:rPr>
          <w:rFonts w:ascii="Times New Roman" w:hAnsi="Times New Roman"/>
          <w:b w:val="0"/>
          <w:i w:val="0"/>
          <w:sz w:val="18"/>
          <w:vertAlign w:val="superscript"/>
        </w:rPr>
        <w:t>2</w:t>
      </w:r>
      <w:r>
        <w:rPr>
          <w:rFonts w:ascii="Times New Roman" w:hAnsi="Times New Roman"/>
          <w:b w:val="0"/>
          <w:i w:val="0"/>
          <w:sz w:val="18"/>
        </w:rPr>
        <w:t xml:space="preserve"> = 0.12); every nonlinear model scored below zero and hardly ordered the runs inside an unseen study (median Spearman ρ ≤ 0.17), whereas peak current alone did (ρ = 0.55). Differences in the overall wear level of each study accounted for more than half of the squared held-out error. A within-study model of peak current, with the level set from three runs of the new study, reduced the typical error from ×2.72 to ×2.46 compared with the mean of those runs alone. Random splits therefore mainly measure how well a model learns each laboratory's wear level; simple level-free models calibrated on a few runs are a realistic route to prediction in a new setting.</w:t>
      </w:r>
    </w:p>
    <w:p>
      <w:pPr>
        <w:keepNext w:val="0"/>
        <w:spacing w:after="120" w:before="0"/>
        <w:jc w:val="both"/>
      </w:pPr>
      <w:r>
        <w:rPr>
          <w:rFonts w:ascii="Times New Roman" w:hAnsi="Times New Roman"/>
          <w:b/>
          <w:i w:val="0"/>
          <w:sz w:val="18"/>
        </w:rPr>
        <w:t>Index Terms—</w:t>
      </w:r>
      <w:r>
        <w:rPr>
          <w:rFonts w:ascii="Times New Roman" w:hAnsi="Times New Roman"/>
          <w:b w:val="0"/>
          <w:i w:val="0"/>
          <w:sz w:val="18"/>
        </w:rPr>
        <w:t>electrical discharge machining, tool wear rate, machine learning, grouped cross-validation, transfer, calibration, literature data</w:t>
      </w:r>
    </w:p>
    <w:p>
      <w:pPr>
        <w:keepNext/>
        <w:spacing w:after="60" w:before="160"/>
        <w:jc w:val="center"/>
      </w:pPr>
      <w:r>
        <w:rPr>
          <w:rFonts w:ascii="Times New Roman" w:hAnsi="Times New Roman"/>
          <w:b w:val="0"/>
          <w:i w:val="0"/>
          <w:sz w:val="20"/>
        </w:rPr>
        <w:t>I. INTRODUCTION</w:t>
      </w:r>
    </w:p>
    <w:p>
      <w:pPr>
        <w:keepNext w:val="0"/>
        <w:spacing w:after="40" w:before="0"/>
        <w:ind w:firstLine="202"/>
        <w:jc w:val="both"/>
      </w:pPr>
      <w:r>
        <w:rPr>
          <w:rFonts w:ascii="Times New Roman" w:hAnsi="Times New Roman"/>
          <w:b w:val="0"/>
          <w:i w:val="0"/>
          <w:sz w:val="20"/>
        </w:rPr>
        <w:t>Electrical discharge machining (EDM) removes material through a series of sparks between a tool electrode and a workpiece immersed in a dielectric fluid. Because the tool never touches the workpiece, EDM can shape hardened steels, titanium and nickel-based alloys into complex cavities for dies, moulds and aerospace parts [1]. The same sparks also erode the tool. Tool wear changes the electrode's shape, reduces the dimensional accuracy of the cavity and adds the cost of replacement electrodes, so the tool wear rate (TWR) is one of the main responses planned for in die-sinking EDM [1], [2].</w:t>
      </w:r>
    </w:p>
    <w:p>
      <w:pPr>
        <w:keepNext w:val="0"/>
        <w:spacing w:after="40" w:before="0"/>
        <w:ind w:firstLine="202"/>
        <w:jc w:val="both"/>
      </w:pPr>
      <w:r>
        <w:rPr>
          <w:rFonts w:ascii="Times New Roman" w:hAnsi="Times New Roman"/>
          <w:b w:val="0"/>
          <w:i w:val="0"/>
          <w:sz w:val="20"/>
        </w:rPr>
        <w:t>TWR depends on many interacting factors. It generally rises with peak current and discharge energy, while the effect of pulse-on time and duty factor depends on the polarity and the electrode material [2]. Electrode materials behave very differently under the same settings [3]–[7], and changing the polarity can change tool wear substantially [8]. These non-linear effects are hard to capture with physical models or low-order regression, which is why data-driven models are widely used.</w:t>
      </w:r>
    </w:p>
    <w:p>
      <w:pPr>
        <w:keepNext w:val="0"/>
        <w:spacing w:after="40" w:before="0"/>
        <w:ind w:firstLine="202"/>
        <w:jc w:val="both"/>
      </w:pPr>
      <w:r>
        <w:rPr>
          <w:rFonts w:ascii="Times New Roman" w:hAnsi="Times New Roman"/>
          <w:b w:val="0"/>
          <w:i w:val="0"/>
          <w:sz w:val="20"/>
        </w:rPr>
        <w:t>Recent studies report very accurate machine learning (ML) models for EDM responses: tree ensembles, neural networks and Gaussian process regression reach R</w:t>
      </w:r>
      <w:r>
        <w:rPr>
          <w:rFonts w:ascii="Times New Roman" w:hAnsi="Times New Roman"/>
          <w:b w:val="0"/>
          <w:i w:val="0"/>
          <w:sz w:val="20"/>
          <w:vertAlign w:val="superscript"/>
        </w:rPr>
        <w:t>2</w:t>
      </w:r>
      <w:r>
        <w:rPr>
          <w:rFonts w:ascii="Times New Roman" w:hAnsi="Times New Roman"/>
          <w:b w:val="0"/>
          <w:i w:val="0"/>
          <w:sz w:val="20"/>
        </w:rPr>
        <w:t xml:space="preserve"> values above 0.97 or accuracies near 99% [9]–[11]. Such models are usually trained and tested on runs from a single experimental campaign, often with a random split of the runs [11]. Runs from the same study share a machine, a measuring method and a material batch, so a random split tests interpolation within one laboratory. Grouped validation, which holds out whole groups, is recommended whenever data are clustered in this way [12], and information shared between training and test data is a known source of over-optimistic results [13]. Work toward models that generalize has started [14], [15], but how well TWR models transfer to an unseen study has rarely been tested directly.</w:t>
      </w:r>
    </w:p>
    <w:p>
      <w:pPr>
        <w:keepNext w:val="0"/>
        <w:spacing w:after="40" w:before="0"/>
        <w:ind w:firstLine="202"/>
        <w:jc w:val="both"/>
      </w:pPr>
      <w:r>
        <w:rPr>
          <w:rFonts w:ascii="Times New Roman" w:hAnsi="Times New Roman"/>
          <w:b w:val="0"/>
          <w:i w:val="0"/>
          <w:sz w:val="20"/>
        </w:rPr>
        <w:t>This paper tests it with data compiled from published studies. Its contributions are:</w:t>
      </w:r>
    </w:p>
    <w:p>
      <w:pPr>
        <w:keepNext w:val="0"/>
        <w:spacing w:after="40" w:before="0"/>
        <w:jc w:val="both"/>
      </w:pPr>
      <w:r>
        <w:rPr>
          <w:rFonts w:ascii="Times New Roman" w:hAnsi="Times New Roman"/>
          <w:b w:val="0"/>
          <w:i w:val="0"/>
          <w:sz w:val="20"/>
        </w:rPr>
        <w:t>1) a TWR dataset of 156 runs from 10 die-sinking EDM studies, parsed from publisher XML or checked automatically against the source text, with every conversion and every problem found in the sources documented;</w:t>
      </w:r>
    </w:p>
    <w:p>
      <w:pPr>
        <w:keepNext w:val="0"/>
        <w:spacing w:after="40" w:before="0"/>
        <w:jc w:val="both"/>
      </w:pPr>
      <w:r>
        <w:rPr>
          <w:rFonts w:ascii="Times New Roman" w:hAnsi="Times New Roman"/>
          <w:b w:val="0"/>
          <w:i w:val="0"/>
          <w:sz w:val="20"/>
        </w:rPr>
        <w:t>2) a comparison of ridge regression and five ML models under random and leave-one-paper-out (LOPO) validation, with basic or physics-based inputs, which shows that accuracy under random splits does not carry over to a new study;</w:t>
      </w:r>
    </w:p>
    <w:p>
      <w:pPr>
        <w:keepNext w:val="0"/>
        <w:spacing w:after="40" w:before="0"/>
        <w:jc w:val="both"/>
      </w:pPr>
      <w:r>
        <w:rPr>
          <w:rFonts w:ascii="Times New Roman" w:hAnsi="Times New Roman"/>
          <w:b w:val="0"/>
          <w:i w:val="0"/>
          <w:sz w:val="20"/>
        </w:rPr>
        <w:t>3) diagnostics that separate how well a model orders the runs of a new study from how well it predicts the study's overall wear level, which show that the level dominates the error and that the ML models lose even the ordering that peak current alone provides;</w:t>
      </w:r>
    </w:p>
    <w:p>
      <w:pPr>
        <w:keepNext w:val="0"/>
        <w:spacing w:after="40" w:before="0"/>
        <w:jc w:val="both"/>
      </w:pPr>
      <w:r>
        <w:rPr>
          <w:rFonts w:ascii="Times New Roman" w:hAnsi="Times New Roman"/>
          <w:b w:val="0"/>
          <w:i w:val="0"/>
          <w:sz w:val="20"/>
        </w:rPr>
        <w:t>4) within-study (fixed-effects) models and a few-run calibration protocol, compared on the same calibration runs with the baseline of simply using those runs' mean; and</w:t>
      </w:r>
    </w:p>
    <w:p>
      <w:pPr>
        <w:keepNext w:val="0"/>
        <w:spacing w:after="40" w:before="0"/>
        <w:jc w:val="both"/>
      </w:pPr>
      <w:r>
        <w:rPr>
          <w:rFonts w:ascii="Times New Roman" w:hAnsi="Times New Roman"/>
          <w:b w:val="0"/>
          <w:i w:val="0"/>
          <w:sz w:val="20"/>
        </w:rPr>
        <w:t>5) open data and code, so that the dataset can be extended and every number rerun.</w:t>
      </w:r>
    </w:p>
    <w:p>
      <w:pPr>
        <w:keepNext w:val="0"/>
        <w:spacing w:after="40" w:before="0"/>
        <w:ind w:firstLine="202"/>
        <w:jc w:val="both"/>
      </w:pPr>
      <w:r>
        <w:rPr>
          <w:rFonts w:ascii="Times New Roman" w:hAnsi="Times New Roman"/>
          <w:b w:val="0"/>
          <w:i w:val="0"/>
          <w:sz w:val="20"/>
        </w:rPr>
        <w:t>Section II reviews related work, Section III describes the data and methods, Section IV presents the results, Section V discusses them, Section VI lists the limitations and Section VII concludes.</w:t>
      </w:r>
    </w:p>
    <w:p>
      <w:pPr>
        <w:keepNext/>
        <w:spacing w:after="60" w:before="160"/>
        <w:jc w:val="center"/>
      </w:pPr>
      <w:r>
        <w:rPr>
          <w:rFonts w:ascii="Times New Roman" w:hAnsi="Times New Roman"/>
          <w:b w:val="0"/>
          <w:i w:val="0"/>
          <w:sz w:val="20"/>
        </w:rPr>
        <w:t>II. RELATED WORK</w:t>
      </w:r>
    </w:p>
    <w:p>
      <w:pPr>
        <w:keepNext/>
        <w:spacing w:after="40" w:before="80"/>
        <w:jc w:val="left"/>
      </w:pPr>
      <w:r>
        <w:rPr>
          <w:rFonts w:ascii="Times New Roman" w:hAnsi="Times New Roman"/>
          <w:b w:val="0"/>
          <w:i/>
          <w:sz w:val="20"/>
        </w:rPr>
        <w:t>A. Electrode Material and Process Effects</w:t>
      </w:r>
    </w:p>
    <w:p>
      <w:pPr>
        <w:keepNext w:val="0"/>
        <w:spacing w:after="40" w:before="0"/>
        <w:ind w:firstLine="202"/>
        <w:jc w:val="both"/>
      </w:pPr>
      <w:r>
        <w:rPr>
          <w:rFonts w:ascii="Times New Roman" w:hAnsi="Times New Roman"/>
          <w:b w:val="0"/>
          <w:i w:val="0"/>
          <w:sz w:val="20"/>
        </w:rPr>
        <w:t>Several studies compare electrode materials under the same settings. Bahgat et al. [3] machined AISI H13 steel with graphite, copper and brass electrodes and found electrode wear ratios that differed by more than two orders of magnitude between runs. Chandrashekarappa et al. [4] varied copper, graphite and brass electrodes and two dielectrics on a high-carbon high-chromium steel, and Jagdale et al. [5] compared the same three electrode materials on Ti6Al4V. Ahmed [6] compared copper, copper–tungsten and graphite electrodes and electrode designs on D2 steel, and Carlini et al. [7] reported the lowest relative wear (1.66%) for copper–tungsten when machining Inconel 718 at low discharge energy. Özerkan [8] showed that switching the polarity of a graphite tool changes material removal, roughness and tool wear.</w:t>
      </w:r>
    </w:p>
    <w:p>
      <w:pPr>
        <w:keepNext/>
        <w:spacing w:after="40" w:before="80"/>
        <w:jc w:val="left"/>
      </w:pPr>
      <w:r>
        <w:rPr>
          <w:rFonts w:ascii="Times New Roman" w:hAnsi="Times New Roman"/>
          <w:b w:val="0"/>
          <w:i/>
          <w:sz w:val="20"/>
        </w:rPr>
        <w:t>B. Machine Learning for EDM Wear</w:t>
      </w:r>
    </w:p>
    <w:p>
      <w:pPr>
        <w:keepNext w:val="0"/>
        <w:spacing w:after="40" w:before="0"/>
        <w:ind w:firstLine="202"/>
        <w:jc w:val="both"/>
      </w:pPr>
      <w:r>
        <w:rPr>
          <w:rFonts w:ascii="Times New Roman" w:hAnsi="Times New Roman"/>
          <w:b w:val="0"/>
          <w:i w:val="0"/>
          <w:sz w:val="20"/>
        </w:rPr>
        <w:t>Cetin et al. [9] compared seven ML algorithms, including ANN, XGBoost, CatBoost and random forest, for predicting the wear of cryogenically treated CuCrZr and copper electrodes on AISI P20 steel and reported accuracies near 99%. Boominathan et al. [10] combined linear regression, SVR, random forest, XGBoost and AdaBoost with SHAP and LIME explanations for EDM of Inconel 718; XGBoost reached R</w:t>
      </w:r>
      <w:r>
        <w:rPr>
          <w:rFonts w:ascii="Times New Roman" w:hAnsi="Times New Roman"/>
          <w:b w:val="0"/>
          <w:i w:val="0"/>
          <w:sz w:val="20"/>
          <w:vertAlign w:val="superscript"/>
        </w:rPr>
        <w:t>2</w:t>
      </w:r>
      <w:r>
        <w:rPr>
          <w:rFonts w:ascii="Times New Roman" w:hAnsi="Times New Roman"/>
          <w:b w:val="0"/>
          <w:i w:val="0"/>
          <w:sz w:val="20"/>
        </w:rPr>
        <w:t xml:space="preserve"> = 0.994 for material removal rate. Qasem and Alsakarneh [11] trained six models on 72 runs over three steels with an 80/20 split; Gaussian process regression performed best, with training R</w:t>
      </w:r>
      <w:r>
        <w:rPr>
          <w:rFonts w:ascii="Times New Roman" w:hAnsi="Times New Roman"/>
          <w:b w:val="0"/>
          <w:i w:val="0"/>
          <w:sz w:val="20"/>
          <w:vertAlign w:val="superscript"/>
        </w:rPr>
        <w:t>2</w:t>
      </w:r>
      <w:r>
        <w:rPr>
          <w:rFonts w:ascii="Times New Roman" w:hAnsi="Times New Roman"/>
          <w:b w:val="0"/>
          <w:i w:val="0"/>
          <w:sz w:val="20"/>
        </w:rPr>
        <w:t xml:space="preserve"> above 0.97 for material removal rate. Hegde et al. [16] combined designed experiments with a neural network to predict the wear of Ti-6Al-4V-SiCp composite electrodes. Each of these models was built and evaluated on a single experimental campaign.</w:t>
      </w:r>
    </w:p>
    <w:p>
      <w:pPr>
        <w:keepNext/>
        <w:spacing w:after="40" w:before="80"/>
        <w:jc w:val="left"/>
      </w:pPr>
      <w:r>
        <w:rPr>
          <w:rFonts w:ascii="Times New Roman" w:hAnsi="Times New Roman"/>
          <w:b w:val="0"/>
          <w:i/>
          <w:sz w:val="20"/>
        </w:rPr>
        <w:t>C. Toward Transferable Models</w:t>
      </w:r>
    </w:p>
    <w:p>
      <w:pPr>
        <w:keepNext w:val="0"/>
        <w:spacing w:after="40" w:before="0"/>
        <w:ind w:firstLine="202"/>
        <w:jc w:val="both"/>
      </w:pPr>
      <w:r>
        <w:rPr>
          <w:rFonts w:ascii="Times New Roman" w:hAnsi="Times New Roman"/>
          <w:b w:val="0"/>
          <w:i w:val="0"/>
          <w:sz w:val="20"/>
        </w:rPr>
        <w:t>In a preprint, Nath et al. [14] fitted a physics-guided model built from dimensionless groups to nine runs (calibration R</w:t>
      </w:r>
      <w:r>
        <w:rPr>
          <w:rFonts w:ascii="Times New Roman" w:hAnsi="Times New Roman"/>
          <w:b w:val="0"/>
          <w:i w:val="0"/>
          <w:sz w:val="20"/>
          <w:vertAlign w:val="superscript"/>
        </w:rPr>
        <w:t>2</w:t>
      </w:r>
      <w:r>
        <w:rPr>
          <w:rFonts w:ascii="Times New Roman" w:hAnsi="Times New Roman"/>
          <w:b w:val="0"/>
          <w:i w:val="0"/>
          <w:sz w:val="20"/>
        </w:rPr>
        <w:t xml:space="preserve"> = 0.969, mean absolute percentage error 10.1%) and validated it on nine runs from another study (18.5%). Its thermal group, which combines the electrode's thermal conductivity and melting point, had an exponent close to −1, which supports using electrode thermal properties as model inputs. Cortés-Mendoza et al. [15] proposed a generalist framework of four ML models for material removal and electrode wear and reported R</w:t>
      </w:r>
      <w:r>
        <w:rPr>
          <w:rFonts w:ascii="Times New Roman" w:hAnsi="Times New Roman"/>
          <w:b w:val="0"/>
          <w:i w:val="0"/>
          <w:sz w:val="20"/>
          <w:vertAlign w:val="superscript"/>
        </w:rPr>
        <w:t>2</w:t>
      </w:r>
      <w:r>
        <w:rPr>
          <w:rFonts w:ascii="Times New Roman" w:hAnsi="Times New Roman"/>
          <w:b w:val="0"/>
          <w:i w:val="0"/>
          <w:sz w:val="20"/>
        </w:rPr>
        <w:t xml:space="preserve"> up to 0.9956 for electrode wear. Clustered data of this kind are the classic setting for multilevel models, in which each group has its own intercept [17]. The present study complements these works by holding out every study in turn and by testing a within-study formulation directly.</w:t>
      </w:r>
    </w:p>
    <w:p>
      <w:pPr>
        <w:keepNext/>
        <w:spacing w:after="60" w:before="160"/>
        <w:jc w:val="center"/>
      </w:pPr>
      <w:r>
        <w:rPr>
          <w:rFonts w:ascii="Times New Roman" w:hAnsi="Times New Roman"/>
          <w:b w:val="0"/>
          <w:i w:val="0"/>
          <w:sz w:val="20"/>
        </w:rPr>
        <w:t>III. DATA AND METHODS</w:t>
      </w:r>
    </w:p>
    <w:p>
      <w:pPr>
        <w:keepNext w:val="0"/>
        <w:spacing w:after="40" w:before="0"/>
        <w:ind w:firstLine="202"/>
        <w:jc w:val="both"/>
      </w:pPr>
      <w:r>
        <w:rPr>
          <w:rFonts w:ascii="Times New Roman" w:hAnsi="Times New Roman"/>
          <w:b w:val="0"/>
          <w:i w:val="0"/>
          <w:sz w:val="20"/>
        </w:rPr>
        <w:t>Fig. 1 summarizes the workflow.</w:t>
      </w:r>
    </w:p>
    <w:p>
      <w:pPr>
        <w:keepNext/>
        <w:jc w:val="center"/>
      </w:pPr>
      <w:r>
        <w:drawing>
          <wp:inline xmlns:a="http://schemas.openxmlformats.org/drawingml/2006/main" xmlns:pic="http://schemas.openxmlformats.org/drawingml/2006/picture">
            <wp:extent cx="3063240" cy="1382493"/>
            <wp:docPr id="1" name="Picture 1"/>
            <wp:cNvGraphicFramePr>
              <a:graphicFrameLocks noChangeAspect="1"/>
            </wp:cNvGraphicFramePr>
            <a:graphic>
              <a:graphicData uri="http://schemas.openxmlformats.org/drawingml/2006/picture">
                <pic:pic>
                  <pic:nvPicPr>
                    <pic:cNvPr id="0" name="fig1_workflow.png"/>
                    <pic:cNvPicPr/>
                  </pic:nvPicPr>
                  <pic:blipFill>
                    <a:blip r:embed="rId9"/>
                    <a:stretch>
                      <a:fillRect/>
                    </a:stretch>
                  </pic:blipFill>
                  <pic:spPr>
                    <a:xfrm>
                      <a:off x="0" y="0"/>
                      <a:ext cx="3063240" cy="1382493"/>
                    </a:xfrm>
                    <a:prstGeom prst="rect"/>
                  </pic:spPr>
                </pic:pic>
              </a:graphicData>
            </a:graphic>
          </wp:inline>
        </w:drawing>
      </w:r>
    </w:p>
    <w:p>
      <w:pPr>
        <w:keepNext w:val="0"/>
        <w:spacing w:after="120" w:before="0"/>
        <w:jc w:val="both"/>
      </w:pPr>
      <w:r>
        <w:rPr>
          <w:rFonts w:ascii="Times New Roman" w:hAnsi="Times New Roman"/>
          <w:b w:val="0"/>
          <w:i w:val="0"/>
          <w:sz w:val="16"/>
        </w:rPr>
        <w:t>Fig. 1. Workflow, from literature screening to model validation.</w:t>
      </w:r>
    </w:p>
    <w:p>
      <w:pPr>
        <w:keepNext/>
        <w:spacing w:after="40" w:before="80"/>
        <w:jc w:val="left"/>
      </w:pPr>
      <w:r>
        <w:rPr>
          <w:rFonts w:ascii="Times New Roman" w:hAnsi="Times New Roman"/>
          <w:b w:val="0"/>
          <w:i/>
          <w:sz w:val="20"/>
        </w:rPr>
        <w:t>A. Literature Search and Screening</w:t>
      </w:r>
    </w:p>
    <w:p>
      <w:pPr>
        <w:keepNext w:val="0"/>
        <w:spacing w:after="40" w:before="0"/>
        <w:ind w:firstLine="202"/>
        <w:jc w:val="both"/>
      </w:pPr>
      <w:r>
        <w:rPr>
          <w:rFonts w:ascii="Times New Roman" w:hAnsi="Times New Roman"/>
          <w:b w:val="0"/>
          <w:i w:val="0"/>
          <w:sz w:val="20"/>
        </w:rPr>
        <w:t>Studies were found through web searches in September 2026 that combined die-sinking EDM, tool or electrode wear rate, electrode materials and common workpieces (tool steels, stainless steels, titanium and nickel alloys). A study was included if it used conventional die-sinking EDM on a steel, titanium-alloy or nickel-alloy workpiece and gave, for every run, the TWR as a volume or mass rate (or in a form that converts to one) together with the peak current and pulse timing. Wire and micro-EDM, composite workpieces, single fixed settings and wear reported only as a length or in graphs were excluded. Of the 51 studies logged, 12 contained usable per-run tables, 11 need a closer check, 19 could not be accessed or are paywalled, and 9 were rejected. Ten of the 12 were retrieved as open-access full text and form the dataset; the other two [18], [19] could not be retrieved in a readable form and are left for a later update.</w:t>
      </w:r>
    </w:p>
    <w:p>
      <w:pPr>
        <w:keepNext/>
        <w:spacing w:after="40" w:before="80"/>
        <w:jc w:val="left"/>
      </w:pPr>
      <w:r>
        <w:rPr>
          <w:rFonts w:ascii="Times New Roman" w:hAnsi="Times New Roman"/>
          <w:b w:val="0"/>
          <w:i/>
          <w:sz w:val="20"/>
        </w:rPr>
        <w:t>B. Data Extraction and Checks</w:t>
      </w:r>
    </w:p>
    <w:p>
      <w:pPr>
        <w:keepNext w:val="0"/>
        <w:spacing w:after="40" w:before="0"/>
        <w:ind w:firstLine="202"/>
        <w:jc w:val="both"/>
      </w:pPr>
      <w:r>
        <w:rPr>
          <w:rFonts w:ascii="Times New Roman" w:hAnsi="Times New Roman"/>
          <w:b w:val="0"/>
          <w:i w:val="0"/>
          <w:sz w:val="20"/>
        </w:rPr>
        <w:t>Four studies [3], [5], [20], [21] are available as JATS XML through Europe PMC, and their tables were parsed by a script, so the values are exact copies of the published ones. For the other six [4], [22]–[26] the tables were typed from the PDF and checked by a script that requires every typed row to appear, value by value and in order, on one line of the PDF's text layer; all 81 typed rows passed, and a deliberately altered value was detected. A second script confirmed that every design has its stated structure: every pair of factors is balanced in the orthogonal arrays, and the central composite design has 16 factorial, 8 axial and 6 centre runs. The repository contains both scripts, a script that downloads the source articles, and the checksums of the copies used.</w:t>
      </w:r>
    </w:p>
    <w:p>
      <w:pPr>
        <w:keepNext w:val="0"/>
        <w:spacing w:after="40" w:before="0"/>
        <w:ind w:firstLine="202"/>
        <w:jc w:val="both"/>
      </w:pPr>
      <w:r>
        <w:rPr>
          <w:rFonts w:ascii="Times New Roman" w:hAnsi="Times New Roman"/>
          <w:b w:val="0"/>
          <w:i w:val="0"/>
          <w:sz w:val="20"/>
        </w:rPr>
        <w:t>Four problems in the sources were found and kept visible rather than silently corrected. Table 4 of [22] prints the pulse-on levels as 50, 200 and 200 µs, while its abstract gives 50, 200 and 800 µs and its run codes use three distinct levels; 800 µs was used. Reddy et al. [24] weighed on a balance with 0.1 g resolution over 5 min cuts, which corresponds to about 2.2 mm</w:t>
      </w:r>
      <w:r>
        <w:rPr>
          <w:rFonts w:ascii="Times New Roman" w:hAnsi="Times New Roman"/>
          <w:b w:val="0"/>
          <w:i w:val="0"/>
          <w:sz w:val="20"/>
          <w:vertAlign w:val="superscript"/>
        </w:rPr>
        <w:t>3</w:t>
      </w:r>
      <w:r>
        <w:rPr>
          <w:rFonts w:ascii="Times New Roman" w:hAnsi="Times New Roman"/>
          <w:b w:val="0"/>
          <w:i w:val="0"/>
          <w:sz w:val="20"/>
        </w:rPr>
        <w:t>/min of copper, more than every TWR they report (0.11–0.78 mm</w:t>
      </w:r>
      <w:r>
        <w:rPr>
          <w:rFonts w:ascii="Times New Roman" w:hAnsi="Times New Roman"/>
          <w:b w:val="0"/>
          <w:i w:val="0"/>
          <w:sz w:val="20"/>
          <w:vertAlign w:val="superscript"/>
        </w:rPr>
        <w:t>3</w:t>
      </w:r>
      <w:r>
        <w:rPr>
          <w:rFonts w:ascii="Times New Roman" w:hAnsi="Times New Roman"/>
          <w:b w:val="0"/>
          <w:i w:val="0"/>
          <w:sz w:val="20"/>
        </w:rPr>
        <w:t>/min). In [4] the tool lost more mass than the workpiece in 9 of 18 runs, which is unusual for die-sinking EDM. In [20] one centre run (run 13) has 2.1–3.4 times the wear of its five replicates. These runs were kept as published and tested in the sensitivity analysis (Section IV-E).</w:t>
      </w:r>
    </w:p>
    <w:p>
      <w:pPr>
        <w:keepNext/>
        <w:spacing w:after="40" w:before="80"/>
        <w:jc w:val="left"/>
      </w:pPr>
      <w:r>
        <w:rPr>
          <w:rFonts w:ascii="Times New Roman" w:hAnsi="Times New Roman"/>
          <w:b w:val="0"/>
          <w:i/>
          <w:sz w:val="20"/>
        </w:rPr>
        <w:t>C. Dataset</w:t>
      </w:r>
    </w:p>
    <w:p>
      <w:pPr>
        <w:keepNext/>
        <w:spacing w:after="0" w:before="0"/>
        <w:jc w:val="center"/>
      </w:pPr>
      <w:r>
        <w:rPr>
          <w:rFonts w:ascii="Times New Roman" w:hAnsi="Times New Roman"/>
          <w:b w:val="0"/>
          <w:i w:val="0"/>
          <w:sz w:val="16"/>
        </w:rPr>
        <w:t>TABLE I</w:t>
      </w:r>
    </w:p>
    <w:p>
      <w:pPr>
        <w:keepNext/>
        <w:spacing w:after="40" w:before="0"/>
        <w:jc w:val="center"/>
      </w:pPr>
      <w:r>
        <w:rPr>
          <w:rFonts w:ascii="Times New Roman" w:hAnsi="Times New Roman"/>
          <w:b w:val="0"/>
          <w:i w:val="0"/>
          <w:sz w:val="14"/>
        </w:rPr>
        <w:t>STUDIES IN THE DATASET</w:t>
      </w:r>
    </w:p>
    <w:tbl>
      <w:tblPr>
        <w:tblW w:type="dxa" w:w="4968"/>
        <w:jc w:val="center"/>
        <w:tblLayout w:type="fixed"/>
        <w:tblLook w:firstColumn="1" w:firstRow="1" w:lastColumn="0" w:lastRow="0" w:noHBand="0" w:noVBand="1" w:val="04A0"/>
        <w:tblCellMar>
          <w:left w:w="43" w:type="dxa"/>
          <w:right w:w="43" w:type="dxa"/>
        </w:tblCellMar>
        <w:tblBorders>
          <w:top w:val="single" w:sz="6"/>
          <w:left w:val="nil"/>
          <w:bottom w:val="single" w:sz="6"/>
          <w:right w:val="nil"/>
          <w:insideH w:val="nil"/>
          <w:insideV w:val="nil"/>
        </w:tblBorders>
      </w:tblPr>
      <w:tblGrid>
        <w:gridCol w:w="864"/>
        <w:gridCol w:w="1123"/>
        <w:gridCol w:w="1180"/>
        <w:gridCol w:w="604"/>
        <w:gridCol w:w="360"/>
        <w:gridCol w:w="835"/>
      </w:tblGrid>
      <w:tr>
        <w:trPr>
          <w:cantSplit/>
        </w:trPr>
        <w:tc>
          <w:tcPr>
            <w:tcW w:type="dxa" w:w="864"/>
            <w:tcBorders>
              <w:bottom w:val="single" w:sz="4"/>
            </w:tcBorders>
          </w:tcPr>
          <w:p>
            <w:pPr>
              <w:keepNext/>
              <w:spacing w:after="0"/>
              <w:jc w:val="left"/>
            </w:pPr>
            <w:r/>
            <w:r>
              <w:rPr>
                <w:rFonts w:ascii="Times New Roman" w:hAnsi="Times New Roman"/>
                <w:b/>
                <w:i w:val="0"/>
                <w:sz w:val="14"/>
              </w:rPr>
              <w:t>Study</w:t>
            </w:r>
          </w:p>
        </w:tc>
        <w:tc>
          <w:tcPr>
            <w:tcW w:type="dxa" w:w="1123"/>
            <w:tcBorders>
              <w:bottom w:val="single" w:sz="4"/>
            </w:tcBorders>
          </w:tcPr>
          <w:p>
            <w:pPr>
              <w:keepNext/>
              <w:spacing w:after="0"/>
              <w:jc w:val="center"/>
            </w:pPr>
            <w:r/>
            <w:r>
              <w:rPr>
                <w:rFonts w:ascii="Times New Roman" w:hAnsi="Times New Roman"/>
                <w:b/>
                <w:i w:val="0"/>
                <w:sz w:val="14"/>
              </w:rPr>
              <w:t>Workpiece</w:t>
            </w:r>
          </w:p>
        </w:tc>
        <w:tc>
          <w:tcPr>
            <w:tcW w:type="dxa" w:w="1181"/>
            <w:tcBorders>
              <w:bottom w:val="single" w:sz="4"/>
            </w:tcBorders>
          </w:tcPr>
          <w:p>
            <w:pPr>
              <w:keepNext/>
              <w:spacing w:after="0"/>
              <w:jc w:val="center"/>
            </w:pPr>
            <w:r/>
            <w:r>
              <w:rPr>
                <w:rFonts w:ascii="Times New Roman" w:hAnsi="Times New Roman"/>
                <w:b/>
                <w:i w:val="0"/>
                <w:sz w:val="14"/>
              </w:rPr>
              <w:t>Electrode(s)</w:t>
            </w:r>
          </w:p>
        </w:tc>
        <w:tc>
          <w:tcPr>
            <w:tcW w:type="dxa" w:w="605"/>
            <w:tcBorders>
              <w:bottom w:val="single" w:sz="4"/>
            </w:tcBorders>
          </w:tcPr>
          <w:p>
            <w:pPr>
              <w:keepNext/>
              <w:spacing w:after="0"/>
              <w:jc w:val="center"/>
            </w:pPr>
            <w:r/>
            <w:r>
              <w:rPr>
                <w:rFonts w:ascii="Times New Roman" w:hAnsi="Times New Roman"/>
                <w:b/>
                <w:i w:val="0"/>
                <w:sz w:val="14"/>
              </w:rPr>
              <w:t>Design</w:t>
            </w:r>
          </w:p>
        </w:tc>
        <w:tc>
          <w:tcPr>
            <w:tcW w:type="dxa" w:w="360"/>
            <w:tcBorders>
              <w:bottom w:val="single" w:sz="4"/>
            </w:tcBorders>
          </w:tcPr>
          <w:p>
            <w:pPr>
              <w:keepNext/>
              <w:spacing w:after="0"/>
              <w:jc w:val="center"/>
            </w:pPr>
            <w:r/>
            <w:r>
              <w:rPr>
                <w:rFonts w:ascii="Times New Roman" w:hAnsi="Times New Roman"/>
                <w:b/>
                <w:i w:val="0"/>
                <w:sz w:val="14"/>
              </w:rPr>
              <w:t>n</w:t>
            </w:r>
          </w:p>
        </w:tc>
        <w:tc>
          <w:tcPr>
            <w:tcW w:type="dxa" w:w="835"/>
            <w:tcBorders>
              <w:bottom w:val="single" w:sz="4"/>
            </w:tcBorders>
          </w:tcPr>
          <w:p>
            <w:pPr>
              <w:keepNext/>
              <w:spacing w:after="0"/>
              <w:jc w:val="center"/>
            </w:pPr>
            <w:r/>
            <w:r>
              <w:rPr>
                <w:rFonts w:ascii="Times New Roman" w:hAnsi="Times New Roman"/>
                <w:b/>
                <w:i w:val="0"/>
                <w:sz w:val="14"/>
              </w:rPr>
              <w:t>TWR (mm³/min)</w:t>
            </w:r>
          </w:p>
        </w:tc>
      </w:tr>
      <w:tr>
        <w:trPr>
          <w:cantSplit/>
        </w:trPr>
        <w:tc>
          <w:tcPr>
            <w:tcW w:type="dxa" w:w="864"/>
          </w:tcPr>
          <w:p>
            <w:pPr>
              <w:keepNext/>
              <w:spacing w:after="0"/>
              <w:jc w:val="left"/>
            </w:pPr>
            <w:r/>
            <w:r>
              <w:rPr>
                <w:rFonts w:ascii="Times New Roman" w:hAnsi="Times New Roman"/>
                <w:b w:val="0"/>
                <w:i w:val="0"/>
                <w:sz w:val="14"/>
              </w:rPr>
              <w:t>P01 [20]</w:t>
            </w:r>
          </w:p>
        </w:tc>
        <w:tc>
          <w:tcPr>
            <w:tcW w:type="dxa" w:w="1123"/>
          </w:tcPr>
          <w:p>
            <w:pPr>
              <w:keepNext/>
              <w:spacing w:after="0"/>
              <w:jc w:val="center"/>
            </w:pPr>
            <w:r/>
            <w:r>
              <w:rPr>
                <w:rFonts w:ascii="Times New Roman" w:hAnsi="Times New Roman"/>
                <w:b w:val="0"/>
                <w:i w:val="0"/>
                <w:sz w:val="14"/>
              </w:rPr>
              <w:t>Ti-13Zr-13Nb</w:t>
            </w:r>
          </w:p>
        </w:tc>
        <w:tc>
          <w:tcPr>
            <w:tcW w:type="dxa" w:w="1181"/>
          </w:tcPr>
          <w:p>
            <w:pPr>
              <w:keepNext/>
              <w:spacing w:after="0"/>
              <w:jc w:val="center"/>
            </w:pPr>
            <w:r/>
            <w:r>
              <w:rPr>
                <w:rFonts w:ascii="Times New Roman" w:hAnsi="Times New Roman"/>
                <w:b w:val="0"/>
                <w:i w:val="0"/>
                <w:sz w:val="14"/>
              </w:rPr>
              <w:t>Gr</w:t>
            </w:r>
          </w:p>
        </w:tc>
        <w:tc>
          <w:tcPr>
            <w:tcW w:type="dxa" w:w="605"/>
          </w:tcPr>
          <w:p>
            <w:pPr>
              <w:keepNext/>
              <w:spacing w:after="0"/>
              <w:jc w:val="center"/>
            </w:pPr>
            <w:r/>
            <w:r>
              <w:rPr>
                <w:rFonts w:ascii="Times New Roman" w:hAnsi="Times New Roman"/>
                <w:b w:val="0"/>
                <w:i w:val="0"/>
                <w:sz w:val="14"/>
              </w:rPr>
              <w:t>CCD</w:t>
            </w:r>
          </w:p>
        </w:tc>
        <w:tc>
          <w:tcPr>
            <w:tcW w:type="dxa" w:w="360"/>
          </w:tcPr>
          <w:p>
            <w:pPr>
              <w:keepNext/>
              <w:spacing w:after="0"/>
              <w:jc w:val="center"/>
            </w:pPr>
            <w:r/>
            <w:r>
              <w:rPr>
                <w:rFonts w:ascii="Times New Roman" w:hAnsi="Times New Roman"/>
                <w:b w:val="0"/>
                <w:i w:val="0"/>
                <w:sz w:val="14"/>
              </w:rPr>
              <w:t>30</w:t>
            </w:r>
          </w:p>
        </w:tc>
        <w:tc>
          <w:tcPr>
            <w:tcW w:type="dxa" w:w="835"/>
          </w:tcPr>
          <w:p>
            <w:pPr>
              <w:keepNext/>
              <w:spacing w:after="0"/>
              <w:jc w:val="center"/>
            </w:pPr>
            <w:r/>
            <w:r>
              <w:rPr>
                <w:rFonts w:ascii="Times New Roman" w:hAnsi="Times New Roman"/>
                <w:b w:val="0"/>
                <w:i w:val="0"/>
                <w:sz w:val="14"/>
              </w:rPr>
              <w:t>0.23–9.6</w:t>
            </w:r>
          </w:p>
        </w:tc>
      </w:tr>
      <w:tr>
        <w:trPr>
          <w:cantSplit/>
        </w:trPr>
        <w:tc>
          <w:tcPr>
            <w:tcW w:type="dxa" w:w="864"/>
          </w:tcPr>
          <w:p>
            <w:pPr>
              <w:keepNext/>
              <w:spacing w:after="0"/>
              <w:jc w:val="left"/>
            </w:pPr>
            <w:r/>
            <w:r>
              <w:rPr>
                <w:rFonts w:ascii="Times New Roman" w:hAnsi="Times New Roman"/>
                <w:b w:val="0"/>
                <w:i w:val="0"/>
                <w:sz w:val="14"/>
              </w:rPr>
              <w:t>P06 [22]</w:t>
            </w:r>
          </w:p>
        </w:tc>
        <w:tc>
          <w:tcPr>
            <w:tcW w:type="dxa" w:w="1123"/>
          </w:tcPr>
          <w:p>
            <w:pPr>
              <w:keepNext/>
              <w:spacing w:after="0"/>
              <w:jc w:val="center"/>
            </w:pPr>
            <w:r/>
            <w:r>
              <w:rPr>
                <w:rFonts w:ascii="Times New Roman" w:hAnsi="Times New Roman"/>
                <w:b w:val="0"/>
                <w:i w:val="0"/>
                <w:sz w:val="14"/>
              </w:rPr>
              <w:t>DIN 1.2767</w:t>
            </w:r>
          </w:p>
        </w:tc>
        <w:tc>
          <w:tcPr>
            <w:tcW w:type="dxa" w:w="1181"/>
          </w:tcPr>
          <w:p>
            <w:pPr>
              <w:keepNext/>
              <w:spacing w:after="0"/>
              <w:jc w:val="center"/>
            </w:pPr>
            <w:r/>
            <w:r>
              <w:rPr>
                <w:rFonts w:ascii="Times New Roman" w:hAnsi="Times New Roman"/>
                <w:b w:val="0"/>
                <w:i w:val="0"/>
                <w:sz w:val="14"/>
              </w:rPr>
              <w:t>Cu, CuCoNiBe, CuCrZr</w:t>
            </w:r>
          </w:p>
        </w:tc>
        <w:tc>
          <w:tcPr>
            <w:tcW w:type="dxa" w:w="605"/>
          </w:tcPr>
          <w:p>
            <w:pPr>
              <w:keepNext/>
              <w:spacing w:after="0"/>
              <w:jc w:val="center"/>
            </w:pPr>
            <w:r/>
            <w:r>
              <w:rPr>
                <w:rFonts w:ascii="Times New Roman" w:hAnsi="Times New Roman"/>
                <w:b w:val="0"/>
                <w:i w:val="0"/>
                <w:sz w:val="14"/>
              </w:rPr>
              <w:t>3×L9</w:t>
            </w:r>
          </w:p>
        </w:tc>
        <w:tc>
          <w:tcPr>
            <w:tcW w:type="dxa" w:w="360"/>
          </w:tcPr>
          <w:p>
            <w:pPr>
              <w:keepNext/>
              <w:spacing w:after="0"/>
              <w:jc w:val="center"/>
            </w:pPr>
            <w:r/>
            <w:r>
              <w:rPr>
                <w:rFonts w:ascii="Times New Roman" w:hAnsi="Times New Roman"/>
                <w:b w:val="0"/>
                <w:i w:val="0"/>
                <w:sz w:val="14"/>
              </w:rPr>
              <w:t>27</w:t>
            </w:r>
          </w:p>
        </w:tc>
        <w:tc>
          <w:tcPr>
            <w:tcW w:type="dxa" w:w="835"/>
          </w:tcPr>
          <w:p>
            <w:pPr>
              <w:keepNext/>
              <w:spacing w:after="0"/>
              <w:jc w:val="center"/>
            </w:pPr>
            <w:r/>
            <w:r>
              <w:rPr>
                <w:rFonts w:ascii="Times New Roman" w:hAnsi="Times New Roman"/>
                <w:b w:val="0"/>
                <w:i w:val="0"/>
                <w:sz w:val="14"/>
              </w:rPr>
              <w:t>0.020–2.4*</w:t>
            </w:r>
          </w:p>
        </w:tc>
      </w:tr>
      <w:tr>
        <w:trPr>
          <w:cantSplit/>
        </w:trPr>
        <w:tc>
          <w:tcPr>
            <w:tcW w:type="dxa" w:w="864"/>
          </w:tcPr>
          <w:p>
            <w:pPr>
              <w:keepNext/>
              <w:spacing w:after="0"/>
              <w:jc w:val="left"/>
            </w:pPr>
            <w:r/>
            <w:r>
              <w:rPr>
                <w:rFonts w:ascii="Times New Roman" w:hAnsi="Times New Roman"/>
                <w:b w:val="0"/>
                <w:i w:val="0"/>
                <w:sz w:val="14"/>
              </w:rPr>
              <w:t>P10 [23]</w:t>
            </w:r>
          </w:p>
        </w:tc>
        <w:tc>
          <w:tcPr>
            <w:tcW w:type="dxa" w:w="1123"/>
          </w:tcPr>
          <w:p>
            <w:pPr>
              <w:keepNext/>
              <w:spacing w:after="0"/>
              <w:jc w:val="center"/>
            </w:pPr>
            <w:r/>
            <w:r>
              <w:rPr>
                <w:rFonts w:ascii="Times New Roman" w:hAnsi="Times New Roman"/>
                <w:b w:val="0"/>
                <w:i w:val="0"/>
                <w:sz w:val="14"/>
              </w:rPr>
              <w:t>Ti Grade 2</w:t>
            </w:r>
          </w:p>
        </w:tc>
        <w:tc>
          <w:tcPr>
            <w:tcW w:type="dxa" w:w="1181"/>
          </w:tcPr>
          <w:p>
            <w:pPr>
              <w:keepNext/>
              <w:spacing w:after="0"/>
              <w:jc w:val="center"/>
            </w:pPr>
            <w:r/>
            <w:r>
              <w:rPr>
                <w:rFonts w:ascii="Times New Roman" w:hAnsi="Times New Roman"/>
                <w:b w:val="0"/>
                <w:i w:val="0"/>
                <w:sz w:val="14"/>
              </w:rPr>
              <w:t>Cu</w:t>
            </w:r>
          </w:p>
        </w:tc>
        <w:tc>
          <w:tcPr>
            <w:tcW w:type="dxa" w:w="605"/>
          </w:tcPr>
          <w:p>
            <w:pPr>
              <w:keepNext/>
              <w:spacing w:after="0"/>
              <w:jc w:val="center"/>
            </w:pPr>
            <w:r/>
            <w:r>
              <w:rPr>
                <w:rFonts w:ascii="Times New Roman" w:hAnsi="Times New Roman"/>
                <w:b w:val="0"/>
                <w:i w:val="0"/>
                <w:sz w:val="14"/>
              </w:rPr>
              <w:t>L9</w:t>
            </w:r>
          </w:p>
        </w:tc>
        <w:tc>
          <w:tcPr>
            <w:tcW w:type="dxa" w:w="360"/>
          </w:tcPr>
          <w:p>
            <w:pPr>
              <w:keepNext/>
              <w:spacing w:after="0"/>
              <w:jc w:val="center"/>
            </w:pPr>
            <w:r/>
            <w:r>
              <w:rPr>
                <w:rFonts w:ascii="Times New Roman" w:hAnsi="Times New Roman"/>
                <w:b w:val="0"/>
                <w:i w:val="0"/>
                <w:sz w:val="14"/>
              </w:rPr>
              <w:t>9</w:t>
            </w:r>
          </w:p>
        </w:tc>
        <w:tc>
          <w:tcPr>
            <w:tcW w:type="dxa" w:w="835"/>
          </w:tcPr>
          <w:p>
            <w:pPr>
              <w:keepNext/>
              <w:spacing w:after="0"/>
              <w:jc w:val="center"/>
            </w:pPr>
            <w:r/>
            <w:r>
              <w:rPr>
                <w:rFonts w:ascii="Times New Roman" w:hAnsi="Times New Roman"/>
                <w:b w:val="0"/>
                <w:i w:val="0"/>
                <w:sz w:val="14"/>
              </w:rPr>
              <w:t>0.0075–0.057</w:t>
            </w:r>
          </w:p>
        </w:tc>
      </w:tr>
      <w:tr>
        <w:trPr>
          <w:cantSplit/>
        </w:trPr>
        <w:tc>
          <w:tcPr>
            <w:tcW w:type="dxa" w:w="864"/>
          </w:tcPr>
          <w:p>
            <w:pPr>
              <w:keepNext/>
              <w:spacing w:after="0"/>
              <w:jc w:val="left"/>
            </w:pPr>
            <w:r/>
            <w:r>
              <w:rPr>
                <w:rFonts w:ascii="Times New Roman" w:hAnsi="Times New Roman"/>
                <w:b w:val="0"/>
                <w:i w:val="0"/>
                <w:sz w:val="14"/>
              </w:rPr>
              <w:t>P12 [24]</w:t>
            </w:r>
          </w:p>
        </w:tc>
        <w:tc>
          <w:tcPr>
            <w:tcW w:type="dxa" w:w="1123"/>
          </w:tcPr>
          <w:p>
            <w:pPr>
              <w:keepNext/>
              <w:spacing w:after="0"/>
              <w:jc w:val="center"/>
            </w:pPr>
            <w:r/>
            <w:r>
              <w:rPr>
                <w:rFonts w:ascii="Times New Roman" w:hAnsi="Times New Roman"/>
                <w:b w:val="0"/>
                <w:i w:val="0"/>
                <w:sz w:val="14"/>
              </w:rPr>
              <w:t>AISI 304</w:t>
            </w:r>
          </w:p>
        </w:tc>
        <w:tc>
          <w:tcPr>
            <w:tcW w:type="dxa" w:w="1181"/>
          </w:tcPr>
          <w:p>
            <w:pPr>
              <w:keepNext/>
              <w:spacing w:after="0"/>
              <w:jc w:val="center"/>
            </w:pPr>
            <w:r/>
            <w:r>
              <w:rPr>
                <w:rFonts w:ascii="Times New Roman" w:hAnsi="Times New Roman"/>
                <w:b w:val="0"/>
                <w:i w:val="0"/>
                <w:sz w:val="14"/>
              </w:rPr>
              <w:t>Cu</w:t>
            </w:r>
          </w:p>
        </w:tc>
        <w:tc>
          <w:tcPr>
            <w:tcW w:type="dxa" w:w="605"/>
          </w:tcPr>
          <w:p>
            <w:pPr>
              <w:keepNext/>
              <w:spacing w:after="0"/>
              <w:jc w:val="center"/>
            </w:pPr>
            <w:r/>
            <w:r>
              <w:rPr>
                <w:rFonts w:ascii="Times New Roman" w:hAnsi="Times New Roman"/>
                <w:b w:val="0"/>
                <w:i w:val="0"/>
                <w:sz w:val="14"/>
              </w:rPr>
              <w:t>L9</w:t>
            </w:r>
          </w:p>
        </w:tc>
        <w:tc>
          <w:tcPr>
            <w:tcW w:type="dxa" w:w="360"/>
          </w:tcPr>
          <w:p>
            <w:pPr>
              <w:keepNext/>
              <w:spacing w:after="0"/>
              <w:jc w:val="center"/>
            </w:pPr>
            <w:r/>
            <w:r>
              <w:rPr>
                <w:rFonts w:ascii="Times New Roman" w:hAnsi="Times New Roman"/>
                <w:b w:val="0"/>
                <w:i w:val="0"/>
                <w:sz w:val="14"/>
              </w:rPr>
              <w:t>9</w:t>
            </w:r>
          </w:p>
        </w:tc>
        <w:tc>
          <w:tcPr>
            <w:tcW w:type="dxa" w:w="835"/>
          </w:tcPr>
          <w:p>
            <w:pPr>
              <w:keepNext/>
              <w:spacing w:after="0"/>
              <w:jc w:val="center"/>
            </w:pPr>
            <w:r/>
            <w:r>
              <w:rPr>
                <w:rFonts w:ascii="Times New Roman" w:hAnsi="Times New Roman"/>
                <w:b w:val="0"/>
                <w:i w:val="0"/>
                <w:sz w:val="14"/>
              </w:rPr>
              <w:t>0.11–0.78</w:t>
            </w:r>
          </w:p>
        </w:tc>
      </w:tr>
      <w:tr>
        <w:trPr>
          <w:cantSplit/>
        </w:trPr>
        <w:tc>
          <w:tcPr>
            <w:tcW w:type="dxa" w:w="864"/>
          </w:tcPr>
          <w:p>
            <w:pPr>
              <w:keepNext/>
              <w:spacing w:after="0"/>
              <w:jc w:val="left"/>
            </w:pPr>
            <w:r/>
            <w:r>
              <w:rPr>
                <w:rFonts w:ascii="Times New Roman" w:hAnsi="Times New Roman"/>
                <w:b w:val="0"/>
                <w:i w:val="0"/>
                <w:sz w:val="14"/>
              </w:rPr>
              <w:t>P13 [25]</w:t>
            </w:r>
          </w:p>
        </w:tc>
        <w:tc>
          <w:tcPr>
            <w:tcW w:type="dxa" w:w="1123"/>
          </w:tcPr>
          <w:p>
            <w:pPr>
              <w:keepNext/>
              <w:spacing w:after="0"/>
              <w:jc w:val="center"/>
            </w:pPr>
            <w:r/>
            <w:r>
              <w:rPr>
                <w:rFonts w:ascii="Times New Roman" w:hAnsi="Times New Roman"/>
                <w:b w:val="0"/>
                <w:i w:val="0"/>
                <w:sz w:val="14"/>
              </w:rPr>
              <w:t>Inconel 718</w:t>
            </w:r>
          </w:p>
        </w:tc>
        <w:tc>
          <w:tcPr>
            <w:tcW w:type="dxa" w:w="1181"/>
          </w:tcPr>
          <w:p>
            <w:pPr>
              <w:keepNext/>
              <w:spacing w:after="0"/>
              <w:jc w:val="center"/>
            </w:pPr>
            <w:r/>
            <w:r>
              <w:rPr>
                <w:rFonts w:ascii="Times New Roman" w:hAnsi="Times New Roman"/>
                <w:b w:val="0"/>
                <w:i w:val="0"/>
                <w:sz w:val="14"/>
              </w:rPr>
              <w:t>Cu</w:t>
            </w:r>
          </w:p>
        </w:tc>
        <w:tc>
          <w:tcPr>
            <w:tcW w:type="dxa" w:w="605"/>
          </w:tcPr>
          <w:p>
            <w:pPr>
              <w:keepNext/>
              <w:spacing w:after="0"/>
              <w:jc w:val="center"/>
            </w:pPr>
            <w:r/>
            <w:r>
              <w:rPr>
                <w:rFonts w:ascii="Times New Roman" w:hAnsi="Times New Roman"/>
                <w:b w:val="0"/>
                <w:i w:val="0"/>
                <w:sz w:val="14"/>
              </w:rPr>
              <w:t>L9</w:t>
            </w:r>
          </w:p>
        </w:tc>
        <w:tc>
          <w:tcPr>
            <w:tcW w:type="dxa" w:w="360"/>
          </w:tcPr>
          <w:p>
            <w:pPr>
              <w:keepNext/>
              <w:spacing w:after="0"/>
              <w:jc w:val="center"/>
            </w:pPr>
            <w:r/>
            <w:r>
              <w:rPr>
                <w:rFonts w:ascii="Times New Roman" w:hAnsi="Times New Roman"/>
                <w:b w:val="0"/>
                <w:i w:val="0"/>
                <w:sz w:val="14"/>
              </w:rPr>
              <w:t>9</w:t>
            </w:r>
          </w:p>
        </w:tc>
        <w:tc>
          <w:tcPr>
            <w:tcW w:type="dxa" w:w="835"/>
          </w:tcPr>
          <w:p>
            <w:pPr>
              <w:keepNext/>
              <w:spacing w:after="0"/>
              <w:jc w:val="center"/>
            </w:pPr>
            <w:r/>
            <w:r>
              <w:rPr>
                <w:rFonts w:ascii="Times New Roman" w:hAnsi="Times New Roman"/>
                <w:b w:val="0"/>
                <w:i w:val="0"/>
                <w:sz w:val="14"/>
              </w:rPr>
              <w:t>0.030–0.58</w:t>
            </w:r>
          </w:p>
        </w:tc>
      </w:tr>
      <w:tr>
        <w:trPr>
          <w:cantSplit/>
        </w:trPr>
        <w:tc>
          <w:tcPr>
            <w:tcW w:type="dxa" w:w="864"/>
          </w:tcPr>
          <w:p>
            <w:pPr>
              <w:keepNext/>
              <w:spacing w:after="0"/>
              <w:jc w:val="left"/>
            </w:pPr>
            <w:r/>
            <w:r>
              <w:rPr>
                <w:rFonts w:ascii="Times New Roman" w:hAnsi="Times New Roman"/>
                <w:b w:val="0"/>
                <w:i w:val="0"/>
                <w:sz w:val="14"/>
              </w:rPr>
              <w:t>P21 [3]</w:t>
            </w:r>
          </w:p>
        </w:tc>
        <w:tc>
          <w:tcPr>
            <w:tcW w:type="dxa" w:w="1123"/>
          </w:tcPr>
          <w:p>
            <w:pPr>
              <w:keepNext/>
              <w:spacing w:after="0"/>
              <w:jc w:val="center"/>
            </w:pPr>
            <w:r/>
            <w:r>
              <w:rPr>
                <w:rFonts w:ascii="Times New Roman" w:hAnsi="Times New Roman"/>
                <w:b w:val="0"/>
                <w:i w:val="0"/>
                <w:sz w:val="14"/>
              </w:rPr>
              <w:t>AISI H13</w:t>
            </w:r>
          </w:p>
        </w:tc>
        <w:tc>
          <w:tcPr>
            <w:tcW w:type="dxa" w:w="1181"/>
          </w:tcPr>
          <w:p>
            <w:pPr>
              <w:keepNext/>
              <w:spacing w:after="0"/>
              <w:jc w:val="center"/>
            </w:pPr>
            <w:r/>
            <w:r>
              <w:rPr>
                <w:rFonts w:ascii="Times New Roman" w:hAnsi="Times New Roman"/>
                <w:b w:val="0"/>
                <w:i w:val="0"/>
                <w:sz w:val="14"/>
              </w:rPr>
              <w:t>Br, Cu, Gr</w:t>
            </w:r>
          </w:p>
        </w:tc>
        <w:tc>
          <w:tcPr>
            <w:tcW w:type="dxa" w:w="605"/>
          </w:tcPr>
          <w:p>
            <w:pPr>
              <w:keepNext/>
              <w:spacing w:after="0"/>
              <w:jc w:val="center"/>
            </w:pPr>
            <w:r/>
            <w:r>
              <w:rPr>
                <w:rFonts w:ascii="Times New Roman" w:hAnsi="Times New Roman"/>
                <w:b w:val="0"/>
                <w:i w:val="0"/>
                <w:sz w:val="14"/>
              </w:rPr>
              <w:t>L9</w:t>
            </w:r>
          </w:p>
        </w:tc>
        <w:tc>
          <w:tcPr>
            <w:tcW w:type="dxa" w:w="360"/>
          </w:tcPr>
          <w:p>
            <w:pPr>
              <w:keepNext/>
              <w:spacing w:after="0"/>
              <w:jc w:val="center"/>
            </w:pPr>
            <w:r/>
            <w:r>
              <w:rPr>
                <w:rFonts w:ascii="Times New Roman" w:hAnsi="Times New Roman"/>
                <w:b w:val="0"/>
                <w:i w:val="0"/>
                <w:sz w:val="14"/>
              </w:rPr>
              <w:t>9</w:t>
            </w:r>
          </w:p>
        </w:tc>
        <w:tc>
          <w:tcPr>
            <w:tcW w:type="dxa" w:w="835"/>
          </w:tcPr>
          <w:p>
            <w:pPr>
              <w:keepNext/>
              <w:spacing w:after="0"/>
              <w:jc w:val="center"/>
            </w:pPr>
            <w:r/>
            <w:r>
              <w:rPr>
                <w:rFonts w:ascii="Times New Roman" w:hAnsi="Times New Roman"/>
                <w:b w:val="0"/>
                <w:i w:val="0"/>
                <w:sz w:val="14"/>
              </w:rPr>
              <w:t>0.045–33</w:t>
            </w:r>
          </w:p>
        </w:tc>
      </w:tr>
      <w:tr>
        <w:trPr>
          <w:cantSplit/>
        </w:trPr>
        <w:tc>
          <w:tcPr>
            <w:tcW w:type="dxa" w:w="864"/>
          </w:tcPr>
          <w:p>
            <w:pPr>
              <w:keepNext/>
              <w:spacing w:after="0"/>
              <w:jc w:val="left"/>
            </w:pPr>
            <w:r/>
            <w:r>
              <w:rPr>
                <w:rFonts w:ascii="Times New Roman" w:hAnsi="Times New Roman"/>
                <w:b w:val="0"/>
                <w:i w:val="0"/>
                <w:sz w:val="14"/>
              </w:rPr>
              <w:t>H04 [4]</w:t>
            </w:r>
          </w:p>
        </w:tc>
        <w:tc>
          <w:tcPr>
            <w:tcW w:type="dxa" w:w="1123"/>
          </w:tcPr>
          <w:p>
            <w:pPr>
              <w:keepNext/>
              <w:spacing w:after="0"/>
              <w:jc w:val="center"/>
            </w:pPr>
            <w:r/>
            <w:r>
              <w:rPr>
                <w:rFonts w:ascii="Times New Roman" w:hAnsi="Times New Roman"/>
                <w:b w:val="0"/>
                <w:i w:val="0"/>
                <w:sz w:val="14"/>
              </w:rPr>
              <w:t>HcHcr steel</w:t>
            </w:r>
          </w:p>
        </w:tc>
        <w:tc>
          <w:tcPr>
            <w:tcW w:type="dxa" w:w="1181"/>
          </w:tcPr>
          <w:p>
            <w:pPr>
              <w:keepNext/>
              <w:spacing w:after="0"/>
              <w:jc w:val="center"/>
            </w:pPr>
            <w:r/>
            <w:r>
              <w:rPr>
                <w:rFonts w:ascii="Times New Roman" w:hAnsi="Times New Roman"/>
                <w:b w:val="0"/>
                <w:i w:val="0"/>
                <w:sz w:val="14"/>
              </w:rPr>
              <w:t>Br, Cu, Gr</w:t>
            </w:r>
          </w:p>
        </w:tc>
        <w:tc>
          <w:tcPr>
            <w:tcW w:type="dxa" w:w="605"/>
          </w:tcPr>
          <w:p>
            <w:pPr>
              <w:keepNext/>
              <w:spacing w:after="0"/>
              <w:jc w:val="center"/>
            </w:pPr>
            <w:r/>
            <w:r>
              <w:rPr>
                <w:rFonts w:ascii="Times New Roman" w:hAnsi="Times New Roman"/>
                <w:b w:val="0"/>
                <w:i w:val="0"/>
                <w:sz w:val="14"/>
              </w:rPr>
              <w:t>L18</w:t>
            </w:r>
          </w:p>
        </w:tc>
        <w:tc>
          <w:tcPr>
            <w:tcW w:type="dxa" w:w="360"/>
          </w:tcPr>
          <w:p>
            <w:pPr>
              <w:keepNext/>
              <w:spacing w:after="0"/>
              <w:jc w:val="center"/>
            </w:pPr>
            <w:r/>
            <w:r>
              <w:rPr>
                <w:rFonts w:ascii="Times New Roman" w:hAnsi="Times New Roman"/>
                <w:b w:val="0"/>
                <w:i w:val="0"/>
                <w:sz w:val="14"/>
              </w:rPr>
              <w:t>18</w:t>
            </w:r>
          </w:p>
        </w:tc>
        <w:tc>
          <w:tcPr>
            <w:tcW w:type="dxa" w:w="835"/>
          </w:tcPr>
          <w:p>
            <w:pPr>
              <w:keepNext/>
              <w:spacing w:after="0"/>
              <w:jc w:val="center"/>
            </w:pPr>
            <w:r/>
            <w:r>
              <w:rPr>
                <w:rFonts w:ascii="Times New Roman" w:hAnsi="Times New Roman"/>
                <w:b w:val="0"/>
                <w:i w:val="0"/>
                <w:sz w:val="14"/>
              </w:rPr>
              <w:t>1.2–17</w:t>
            </w:r>
          </w:p>
        </w:tc>
      </w:tr>
      <w:tr>
        <w:trPr>
          <w:cantSplit/>
        </w:trPr>
        <w:tc>
          <w:tcPr>
            <w:tcW w:type="dxa" w:w="864"/>
          </w:tcPr>
          <w:p>
            <w:pPr>
              <w:keepNext/>
              <w:spacing w:after="0"/>
              <w:jc w:val="left"/>
            </w:pPr>
            <w:r/>
            <w:r>
              <w:rPr>
                <w:rFonts w:ascii="Times New Roman" w:hAnsi="Times New Roman"/>
                <w:b w:val="0"/>
                <w:i w:val="0"/>
                <w:sz w:val="14"/>
              </w:rPr>
              <w:t>H05 [5]</w:t>
            </w:r>
          </w:p>
        </w:tc>
        <w:tc>
          <w:tcPr>
            <w:tcW w:type="dxa" w:w="1123"/>
          </w:tcPr>
          <w:p>
            <w:pPr>
              <w:keepNext/>
              <w:spacing w:after="0"/>
              <w:jc w:val="center"/>
            </w:pPr>
            <w:r/>
            <w:r>
              <w:rPr>
                <w:rFonts w:ascii="Times New Roman" w:hAnsi="Times New Roman"/>
                <w:b w:val="0"/>
                <w:i w:val="0"/>
                <w:sz w:val="14"/>
              </w:rPr>
              <w:t>Ti6Al4V</w:t>
            </w:r>
          </w:p>
        </w:tc>
        <w:tc>
          <w:tcPr>
            <w:tcW w:type="dxa" w:w="1181"/>
          </w:tcPr>
          <w:p>
            <w:pPr>
              <w:keepNext/>
              <w:spacing w:after="0"/>
              <w:jc w:val="center"/>
            </w:pPr>
            <w:r/>
            <w:r>
              <w:rPr>
                <w:rFonts w:ascii="Times New Roman" w:hAnsi="Times New Roman"/>
                <w:b w:val="0"/>
                <w:i w:val="0"/>
                <w:sz w:val="14"/>
              </w:rPr>
              <w:t>Br, Cu, Gr</w:t>
            </w:r>
          </w:p>
        </w:tc>
        <w:tc>
          <w:tcPr>
            <w:tcW w:type="dxa" w:w="605"/>
          </w:tcPr>
          <w:p>
            <w:pPr>
              <w:keepNext/>
              <w:spacing w:after="0"/>
              <w:jc w:val="center"/>
            </w:pPr>
            <w:r/>
            <w:r>
              <w:rPr>
                <w:rFonts w:ascii="Times New Roman" w:hAnsi="Times New Roman"/>
                <w:b w:val="0"/>
                <w:i w:val="0"/>
                <w:sz w:val="14"/>
              </w:rPr>
              <w:t>3×L9</w:t>
            </w:r>
          </w:p>
        </w:tc>
        <w:tc>
          <w:tcPr>
            <w:tcW w:type="dxa" w:w="360"/>
          </w:tcPr>
          <w:p>
            <w:pPr>
              <w:keepNext/>
              <w:spacing w:after="0"/>
              <w:jc w:val="center"/>
            </w:pPr>
            <w:r/>
            <w:r>
              <w:rPr>
                <w:rFonts w:ascii="Times New Roman" w:hAnsi="Times New Roman"/>
                <w:b w:val="0"/>
                <w:i w:val="0"/>
                <w:sz w:val="14"/>
              </w:rPr>
              <w:t>27</w:t>
            </w:r>
          </w:p>
        </w:tc>
        <w:tc>
          <w:tcPr>
            <w:tcW w:type="dxa" w:w="835"/>
          </w:tcPr>
          <w:p>
            <w:pPr>
              <w:keepNext/>
              <w:spacing w:after="0"/>
              <w:jc w:val="center"/>
            </w:pPr>
            <w:r/>
            <w:r>
              <w:rPr>
                <w:rFonts w:ascii="Times New Roman" w:hAnsi="Times New Roman"/>
                <w:b w:val="0"/>
                <w:i w:val="0"/>
                <w:sz w:val="14"/>
              </w:rPr>
              <w:t>0.34–2.0</w:t>
            </w:r>
          </w:p>
        </w:tc>
      </w:tr>
      <w:tr>
        <w:trPr>
          <w:cantSplit/>
        </w:trPr>
        <w:tc>
          <w:tcPr>
            <w:tcW w:type="dxa" w:w="864"/>
          </w:tcPr>
          <w:p>
            <w:pPr>
              <w:keepNext/>
              <w:spacing w:after="0"/>
              <w:jc w:val="left"/>
            </w:pPr>
            <w:r/>
            <w:r>
              <w:rPr>
                <w:rFonts w:ascii="Times New Roman" w:hAnsi="Times New Roman"/>
                <w:b w:val="0"/>
                <w:i w:val="0"/>
                <w:sz w:val="14"/>
              </w:rPr>
              <w:t>H17 [21]</w:t>
            </w:r>
          </w:p>
        </w:tc>
        <w:tc>
          <w:tcPr>
            <w:tcW w:type="dxa" w:w="1123"/>
          </w:tcPr>
          <w:p>
            <w:pPr>
              <w:keepNext/>
              <w:spacing w:after="0"/>
              <w:jc w:val="center"/>
            </w:pPr>
            <w:r/>
            <w:r>
              <w:rPr>
                <w:rFonts w:ascii="Times New Roman" w:hAnsi="Times New Roman"/>
                <w:b w:val="0"/>
                <w:i w:val="0"/>
                <w:sz w:val="14"/>
              </w:rPr>
              <w:t>X37CrMoV5-1</w:t>
            </w:r>
          </w:p>
        </w:tc>
        <w:tc>
          <w:tcPr>
            <w:tcW w:type="dxa" w:w="1181"/>
          </w:tcPr>
          <w:p>
            <w:pPr>
              <w:keepNext/>
              <w:spacing w:after="0"/>
              <w:jc w:val="center"/>
            </w:pPr>
            <w:r/>
            <w:r>
              <w:rPr>
                <w:rFonts w:ascii="Times New Roman" w:hAnsi="Times New Roman"/>
                <w:b w:val="0"/>
                <w:i w:val="0"/>
                <w:sz w:val="14"/>
              </w:rPr>
              <w:t>Cu</w:t>
            </w:r>
          </w:p>
        </w:tc>
        <w:tc>
          <w:tcPr>
            <w:tcW w:type="dxa" w:w="605"/>
          </w:tcPr>
          <w:p>
            <w:pPr>
              <w:keepNext/>
              <w:spacing w:after="0"/>
              <w:jc w:val="center"/>
            </w:pPr>
            <w:r/>
            <w:r>
              <w:rPr>
                <w:rFonts w:ascii="Times New Roman" w:hAnsi="Times New Roman"/>
                <w:b w:val="0"/>
                <w:i w:val="0"/>
                <w:sz w:val="14"/>
              </w:rPr>
              <w:t>L9</w:t>
            </w:r>
          </w:p>
        </w:tc>
        <w:tc>
          <w:tcPr>
            <w:tcW w:type="dxa" w:w="360"/>
          </w:tcPr>
          <w:p>
            <w:pPr>
              <w:keepNext/>
              <w:spacing w:after="0"/>
              <w:jc w:val="center"/>
            </w:pPr>
            <w:r/>
            <w:r>
              <w:rPr>
                <w:rFonts w:ascii="Times New Roman" w:hAnsi="Times New Roman"/>
                <w:b w:val="0"/>
                <w:i w:val="0"/>
                <w:sz w:val="14"/>
              </w:rPr>
              <w:t>9</w:t>
            </w:r>
          </w:p>
        </w:tc>
        <w:tc>
          <w:tcPr>
            <w:tcW w:type="dxa" w:w="835"/>
          </w:tcPr>
          <w:p>
            <w:pPr>
              <w:keepNext/>
              <w:spacing w:after="0"/>
              <w:jc w:val="center"/>
            </w:pPr>
            <w:r/>
            <w:r>
              <w:rPr>
                <w:rFonts w:ascii="Times New Roman" w:hAnsi="Times New Roman"/>
                <w:b w:val="0"/>
                <w:i w:val="0"/>
                <w:sz w:val="14"/>
              </w:rPr>
              <w:t>0.022–0.18</w:t>
            </w:r>
          </w:p>
        </w:tc>
      </w:tr>
      <w:tr>
        <w:trPr>
          <w:cantSplit/>
        </w:trPr>
        <w:tc>
          <w:tcPr>
            <w:tcW w:type="dxa" w:w="864"/>
          </w:tcPr>
          <w:p>
            <w:pPr>
              <w:keepNext/>
              <w:spacing w:after="0"/>
              <w:jc w:val="left"/>
            </w:pPr>
            <w:r/>
            <w:r>
              <w:rPr>
                <w:rFonts w:ascii="Times New Roman" w:hAnsi="Times New Roman"/>
                <w:b w:val="0"/>
                <w:i w:val="0"/>
                <w:sz w:val="14"/>
              </w:rPr>
              <w:t>H18 [26]</w:t>
            </w:r>
          </w:p>
        </w:tc>
        <w:tc>
          <w:tcPr>
            <w:tcW w:type="dxa" w:w="1123"/>
          </w:tcPr>
          <w:p>
            <w:pPr>
              <w:keepNext/>
              <w:spacing w:after="0"/>
              <w:jc w:val="center"/>
            </w:pPr>
            <w:r/>
            <w:r>
              <w:rPr>
                <w:rFonts w:ascii="Times New Roman" w:hAnsi="Times New Roman"/>
                <w:b w:val="0"/>
                <w:i w:val="0"/>
                <w:sz w:val="14"/>
              </w:rPr>
              <w:t>AISI D2</w:t>
            </w:r>
          </w:p>
        </w:tc>
        <w:tc>
          <w:tcPr>
            <w:tcW w:type="dxa" w:w="1181"/>
          </w:tcPr>
          <w:p>
            <w:pPr>
              <w:keepNext/>
              <w:spacing w:after="0"/>
              <w:jc w:val="center"/>
            </w:pPr>
            <w:r/>
            <w:r>
              <w:rPr>
                <w:rFonts w:ascii="Times New Roman" w:hAnsi="Times New Roman"/>
                <w:b w:val="0"/>
                <w:i w:val="0"/>
                <w:sz w:val="14"/>
              </w:rPr>
              <w:t>Cu</w:t>
            </w:r>
          </w:p>
        </w:tc>
        <w:tc>
          <w:tcPr>
            <w:tcW w:type="dxa" w:w="605"/>
          </w:tcPr>
          <w:p>
            <w:pPr>
              <w:keepNext/>
              <w:spacing w:after="0"/>
              <w:jc w:val="center"/>
            </w:pPr>
            <w:r/>
            <w:r>
              <w:rPr>
                <w:rFonts w:ascii="Times New Roman" w:hAnsi="Times New Roman"/>
                <w:b w:val="0"/>
                <w:i w:val="0"/>
                <w:sz w:val="14"/>
              </w:rPr>
              <w:t>L9</w:t>
            </w:r>
          </w:p>
        </w:tc>
        <w:tc>
          <w:tcPr>
            <w:tcW w:type="dxa" w:w="360"/>
          </w:tcPr>
          <w:p>
            <w:pPr>
              <w:keepNext/>
              <w:spacing w:after="0"/>
              <w:jc w:val="center"/>
            </w:pPr>
            <w:r/>
            <w:r>
              <w:rPr>
                <w:rFonts w:ascii="Times New Roman" w:hAnsi="Times New Roman"/>
                <w:b w:val="0"/>
                <w:i w:val="0"/>
                <w:sz w:val="14"/>
              </w:rPr>
              <w:t>9</w:t>
            </w:r>
          </w:p>
        </w:tc>
        <w:tc>
          <w:tcPr>
            <w:tcW w:type="dxa" w:w="835"/>
          </w:tcPr>
          <w:p>
            <w:pPr>
              <w:keepNext/>
              <w:spacing w:after="0"/>
              <w:jc w:val="center"/>
            </w:pPr>
            <w:r/>
            <w:r>
              <w:rPr>
                <w:rFonts w:ascii="Times New Roman" w:hAnsi="Times New Roman"/>
                <w:b w:val="0"/>
                <w:i w:val="0"/>
                <w:sz w:val="14"/>
              </w:rPr>
              <w:t>0.042–0.73</w:t>
            </w:r>
          </w:p>
        </w:tc>
      </w:tr>
    </w:tbl>
    <w:p>
      <w:pPr>
        <w:keepNext w:val="0"/>
        <w:spacing w:after="120" w:before="0"/>
        <w:jc w:val="left"/>
      </w:pPr>
      <w:r>
        <w:rPr>
          <w:rFonts w:ascii="Times New Roman" w:hAnsi="Times New Roman"/>
          <w:b w:val="0"/>
          <w:i w:val="0"/>
          <w:sz w:val="14"/>
        </w:rPr>
        <w:t>Gr: graphite; Br: brass; CCD: face-centred central composite design. *Plus runs printed as 0. The TWR of P21 is derived from EWR% and MRR.</w:t>
      </w:r>
    </w:p>
    <w:p>
      <w:pPr>
        <w:keepNext w:val="0"/>
        <w:spacing w:after="40" w:before="0"/>
        <w:ind w:firstLine="202"/>
        <w:jc w:val="both"/>
      </w:pPr>
      <w:r>
        <w:rPr>
          <w:rFonts w:ascii="Times New Roman" w:hAnsi="Times New Roman"/>
          <w:b w:val="0"/>
          <w:i w:val="0"/>
          <w:sz w:val="20"/>
        </w:rPr>
        <w:t>Table I lists the studies and Fig. 2 shows their TWR values. The dataset has 156 runs covering five electrode materials (graphite, copper, brass, CuCrZr and CuCo1Ni1Be) and 10 workpiece grades from three material classes. Compared with the six-study version, more studies share electrode materials: copper appears in 9 studies (previously 5), graphite in 4 (previously 2) and brass in 3 (previously 1); only CuCrZr and CuCo1Ni1Be are unique to one study [22]. TWR spans more than three orders of magnitude, from 0.0075 to 33.4 mm</w:t>
      </w:r>
      <w:r>
        <w:rPr>
          <w:rFonts w:ascii="Times New Roman" w:hAnsi="Times New Roman"/>
          <w:b w:val="0"/>
          <w:i w:val="0"/>
          <w:sz w:val="20"/>
          <w:vertAlign w:val="superscript"/>
        </w:rPr>
        <w:t>3</w:t>
      </w:r>
      <w:r>
        <w:rPr>
          <w:rFonts w:ascii="Times New Roman" w:hAnsi="Times New Roman"/>
          <w:b w:val="0"/>
          <w:i w:val="0"/>
          <w:sz w:val="20"/>
        </w:rPr>
        <w:t>/min (plus three runs printed as 0), and each study occupies its own part of that range.</w:t>
      </w:r>
    </w:p>
    <w:p>
      <w:pPr>
        <w:keepNext/>
        <w:jc w:val="center"/>
      </w:pPr>
      <w:r>
        <w:drawing>
          <wp:inline xmlns:a="http://schemas.openxmlformats.org/drawingml/2006/main" xmlns:pic="http://schemas.openxmlformats.org/drawingml/2006/picture">
            <wp:extent cx="3063240" cy="2320734"/>
            <wp:docPr id="2" name="Picture 2"/>
            <wp:cNvGraphicFramePr>
              <a:graphicFrameLocks noChangeAspect="1"/>
            </wp:cNvGraphicFramePr>
            <a:graphic>
              <a:graphicData uri="http://schemas.openxmlformats.org/drawingml/2006/picture">
                <pic:pic>
                  <pic:nvPicPr>
                    <pic:cNvPr id="0" name="fig2_twr_by_study.png"/>
                    <pic:cNvPicPr/>
                  </pic:nvPicPr>
                  <pic:blipFill>
                    <a:blip r:embed="rId10"/>
                    <a:stretch>
                      <a:fillRect/>
                    </a:stretch>
                  </pic:blipFill>
                  <pic:spPr>
                    <a:xfrm>
                      <a:off x="0" y="0"/>
                      <a:ext cx="3063240" cy="2320734"/>
                    </a:xfrm>
                    <a:prstGeom prst="rect"/>
                  </pic:spPr>
                </pic:pic>
              </a:graphicData>
            </a:graphic>
          </wp:inline>
        </w:drawing>
      </w:r>
    </w:p>
    <w:p>
      <w:pPr>
        <w:keepNext w:val="0"/>
        <w:spacing w:after="120" w:before="0"/>
        <w:jc w:val="both"/>
      </w:pPr>
      <w:r>
        <w:rPr>
          <w:rFonts w:ascii="Times New Roman" w:hAnsi="Times New Roman"/>
          <w:b w:val="0"/>
          <w:i w:val="0"/>
          <w:sz w:val="16"/>
        </w:rPr>
        <w:t>Fig. 2. TWR of every run by source study (log scale). Hollow points were printed as 0 and set to 0.0025 mm³/min.</w:t>
      </w:r>
    </w:p>
    <w:p>
      <w:pPr>
        <w:keepNext/>
        <w:spacing w:after="40" w:before="80"/>
        <w:jc w:val="left"/>
      </w:pPr>
      <w:r>
        <w:rPr>
          <w:rFonts w:ascii="Times New Roman" w:hAnsi="Times New Roman"/>
          <w:b w:val="0"/>
          <w:i/>
          <w:sz w:val="20"/>
        </w:rPr>
        <w:t>D. Pre-processing and Features</w:t>
      </w:r>
    </w:p>
    <w:p>
      <w:pPr>
        <w:keepNext w:val="0"/>
        <w:spacing w:after="40" w:before="0"/>
        <w:ind w:firstLine="202"/>
        <w:jc w:val="both"/>
      </w:pPr>
      <w:r>
        <w:rPr>
          <w:rFonts w:ascii="Times New Roman" w:hAnsi="Times New Roman"/>
          <w:b w:val="0"/>
          <w:i w:val="0"/>
          <w:sz w:val="20"/>
        </w:rPr>
        <w:t>TWR values reported in g/min were converted to mm</w:t>
      </w:r>
      <w:r>
        <w:rPr>
          <w:rFonts w:ascii="Times New Roman" w:hAnsi="Times New Roman"/>
          <w:b w:val="0"/>
          <w:i w:val="0"/>
          <w:sz w:val="20"/>
          <w:vertAlign w:val="superscript"/>
        </w:rPr>
        <w:t>3</w:t>
      </w:r>
      <w:r>
        <w:rPr>
          <w:rFonts w:ascii="Times New Roman" w:hAnsi="Times New Roman"/>
          <w:b w:val="0"/>
          <w:i w:val="0"/>
          <w:sz w:val="20"/>
        </w:rPr>
        <w:t>/min with the electrode density reported by the same study [4], [23] or, for the two studies that give none [20], [26], with the median of the densities that the other studies report for that material. One study [3] reports only the electrode wear ratio (EWR%) and the material removal rate (MRR), so TWR was computed as EWR% × MRR/100. The duty factor was taken as reported or computed as</w:t>
      </w:r>
    </w:p>
    <w:p>
      <w:pPr>
        <w:tabs>
          <w:tab w:pos="2484" w:val="center"/>
          <w:tab w:pos="4968" w:val="right"/>
        </w:tabs>
        <w:spacing w:after="60" w:before="60"/>
      </w:pPr>
      <w:r>
        <w:rPr>
          <w:rFonts w:ascii="Times New Roman" w:hAnsi="Times New Roman"/>
          <w:b w:val="0"/>
          <w:i w:val="0"/>
          <w:sz w:val="20"/>
        </w:rPr>
        <w:tab/>
        <w:t>D = 100 T</w:t>
      </w:r>
      <w:r>
        <w:rPr>
          <w:rFonts w:ascii="Times New Roman" w:hAnsi="Times New Roman"/>
          <w:b w:val="0"/>
          <w:i w:val="0"/>
          <w:sz w:val="20"/>
          <w:vertAlign w:val="subscript"/>
        </w:rPr>
        <w:t>on</w:t>
      </w:r>
      <w:r>
        <w:rPr>
          <w:rFonts w:ascii="Times New Roman" w:hAnsi="Times New Roman"/>
          <w:b w:val="0"/>
          <w:i w:val="0"/>
          <w:sz w:val="20"/>
        </w:rPr>
        <w:t xml:space="preserve"> / (T</w:t>
      </w:r>
      <w:r>
        <w:rPr>
          <w:rFonts w:ascii="Times New Roman" w:hAnsi="Times New Roman"/>
          <w:b w:val="0"/>
          <w:i w:val="0"/>
          <w:sz w:val="20"/>
          <w:vertAlign w:val="subscript"/>
        </w:rPr>
        <w:t>on</w:t>
      </w:r>
      <w:r>
        <w:rPr>
          <w:rFonts w:ascii="Times New Roman" w:hAnsi="Times New Roman"/>
          <w:b w:val="0"/>
          <w:i w:val="0"/>
          <w:sz w:val="20"/>
        </w:rPr>
        <w:t xml:space="preserve"> + T</w:t>
      </w:r>
      <w:r>
        <w:rPr>
          <w:rFonts w:ascii="Times New Roman" w:hAnsi="Times New Roman"/>
          <w:b w:val="0"/>
          <w:i w:val="0"/>
          <w:sz w:val="20"/>
          <w:vertAlign w:val="subscript"/>
        </w:rPr>
        <w:t>off</w:t>
      </w:r>
      <w:r>
        <w:rPr>
          <w:rFonts w:ascii="Times New Roman" w:hAnsi="Times New Roman"/>
          <w:b w:val="0"/>
          <w:i w:val="0"/>
          <w:sz w:val="20"/>
        </w:rPr>
        <w:t>)</w:t>
        <w:tab/>
        <w:t>(1)</w:t>
      </w:r>
    </w:p>
    <w:p>
      <w:pPr>
        <w:keepNext w:val="0"/>
        <w:spacing w:after="40" w:before="0"/>
        <w:jc w:val="both"/>
      </w:pPr>
      <w:r>
        <w:rPr>
          <w:rFonts w:ascii="Times New Roman" w:hAnsi="Times New Roman"/>
          <w:b w:val="0"/>
          <w:i w:val="0"/>
          <w:sz w:val="20"/>
        </w:rPr>
        <w:t>where T</w:t>
      </w:r>
      <w:r>
        <w:rPr>
          <w:rFonts w:ascii="Times New Roman" w:hAnsi="Times New Roman"/>
          <w:b w:val="0"/>
          <w:i w:val="0"/>
          <w:sz w:val="20"/>
          <w:vertAlign w:val="subscript"/>
        </w:rPr>
        <w:t>on</w:t>
      </w:r>
      <w:r>
        <w:rPr>
          <w:rFonts w:ascii="Times New Roman" w:hAnsi="Times New Roman"/>
          <w:b w:val="0"/>
          <w:i w:val="0"/>
          <w:sz w:val="20"/>
        </w:rPr>
        <w:t xml:space="preserve"> and T</w:t>
      </w:r>
      <w:r>
        <w:rPr>
          <w:rFonts w:ascii="Times New Roman" w:hAnsi="Times New Roman"/>
          <w:b w:val="0"/>
          <w:i w:val="0"/>
          <w:sz w:val="20"/>
          <w:vertAlign w:val="subscript"/>
        </w:rPr>
        <w:t>off</w:t>
      </w:r>
      <w:r>
        <w:rPr>
          <w:rFonts w:ascii="Times New Roman" w:hAnsi="Times New Roman"/>
          <w:b w:val="0"/>
          <w:i w:val="0"/>
          <w:sz w:val="20"/>
        </w:rPr>
        <w:t xml:space="preserve"> are the pulse-on and pulse-off times, and the charge per spark as</w:t>
      </w:r>
    </w:p>
    <w:p>
      <w:pPr>
        <w:tabs>
          <w:tab w:pos="2484" w:val="center"/>
          <w:tab w:pos="4968" w:val="right"/>
        </w:tabs>
        <w:spacing w:after="60" w:before="60"/>
      </w:pPr>
      <w:r>
        <w:rPr>
          <w:rFonts w:ascii="Times New Roman" w:hAnsi="Times New Roman"/>
          <w:b w:val="0"/>
          <w:i w:val="0"/>
          <w:sz w:val="20"/>
        </w:rPr>
        <w:tab/>
        <w:t>Q = I</w:t>
      </w:r>
      <w:r>
        <w:rPr>
          <w:rFonts w:ascii="Times New Roman" w:hAnsi="Times New Roman"/>
          <w:b w:val="0"/>
          <w:i w:val="0"/>
          <w:sz w:val="20"/>
          <w:vertAlign w:val="subscript"/>
        </w:rPr>
        <w:t>p</w:t>
      </w:r>
      <w:r>
        <w:rPr>
          <w:rFonts w:ascii="Times New Roman" w:hAnsi="Times New Roman"/>
          <w:b w:val="0"/>
          <w:i w:val="0"/>
          <w:sz w:val="20"/>
        </w:rPr>
        <w:t xml:space="preserve"> T</w:t>
      </w:r>
      <w:r>
        <w:rPr>
          <w:rFonts w:ascii="Times New Roman" w:hAnsi="Times New Roman"/>
          <w:b w:val="0"/>
          <w:i w:val="0"/>
          <w:sz w:val="20"/>
          <w:vertAlign w:val="subscript"/>
        </w:rPr>
        <w:t>on</w:t>
      </w:r>
      <w:r>
        <w:rPr>
          <w:rFonts w:ascii="Times New Roman" w:hAnsi="Times New Roman"/>
          <w:b w:val="0"/>
          <w:i w:val="0"/>
          <w:sz w:val="20"/>
        </w:rPr>
        <w:tab/>
        <w:t>(2)</w:t>
      </w:r>
    </w:p>
    <w:p>
      <w:pPr>
        <w:keepNext w:val="0"/>
        <w:spacing w:after="40" w:before="0"/>
        <w:jc w:val="both"/>
      </w:pPr>
      <w:r>
        <w:rPr>
          <w:rFonts w:ascii="Times New Roman" w:hAnsi="Times New Roman"/>
          <w:b w:val="0"/>
          <w:i w:val="0"/>
          <w:sz w:val="20"/>
        </w:rPr>
        <w:t>where I</w:t>
      </w:r>
      <w:r>
        <w:rPr>
          <w:rFonts w:ascii="Times New Roman" w:hAnsi="Times New Roman"/>
          <w:b w:val="0"/>
          <w:i w:val="0"/>
          <w:sz w:val="20"/>
          <w:vertAlign w:val="subscript"/>
        </w:rPr>
        <w:t>p</w:t>
      </w:r>
      <w:r>
        <w:rPr>
          <w:rFonts w:ascii="Times New Roman" w:hAnsi="Times New Roman"/>
          <w:b w:val="0"/>
          <w:i w:val="0"/>
          <w:sz w:val="20"/>
        </w:rPr>
        <w:t xml:space="preserve"> is the peak current. The target was</w:t>
      </w:r>
    </w:p>
    <w:p>
      <w:pPr>
        <w:tabs>
          <w:tab w:pos="2484" w:val="center"/>
          <w:tab w:pos="4968" w:val="right"/>
        </w:tabs>
        <w:spacing w:after="60" w:before="60"/>
      </w:pPr>
      <w:r>
        <w:rPr>
          <w:rFonts w:ascii="Times New Roman" w:hAnsi="Times New Roman"/>
          <w:b w:val="0"/>
          <w:i w:val="0"/>
          <w:sz w:val="20"/>
        </w:rPr>
        <w:tab/>
        <w:t>y = log</w:t>
      </w:r>
      <w:r>
        <w:rPr>
          <w:rFonts w:ascii="Times New Roman" w:hAnsi="Times New Roman"/>
          <w:b w:val="0"/>
          <w:i w:val="0"/>
          <w:sz w:val="20"/>
          <w:vertAlign w:val="subscript"/>
        </w:rPr>
        <w:t>10</w:t>
      </w:r>
      <w:r>
        <w:rPr>
          <w:rFonts w:ascii="Times New Roman" w:hAnsi="Times New Roman"/>
          <w:b w:val="0"/>
          <w:i w:val="0"/>
          <w:sz w:val="20"/>
        </w:rPr>
        <w:t>(TWR)</w:t>
        <w:tab/>
        <w:t>(3)</w:t>
      </w:r>
    </w:p>
    <w:p>
      <w:pPr>
        <w:keepNext w:val="0"/>
        <w:spacing w:after="40" w:before="0"/>
        <w:jc w:val="both"/>
      </w:pPr>
      <w:r>
        <w:rPr>
          <w:rFonts w:ascii="Times New Roman" w:hAnsi="Times New Roman"/>
          <w:b w:val="0"/>
          <w:i w:val="0"/>
          <w:sz w:val="20"/>
        </w:rPr>
        <w:t>so that errors are measured as factors rather than absolute differences. The three runs printed as 0 with two decimals were set to 0.0025 mm</w:t>
      </w:r>
      <w:r>
        <w:rPr>
          <w:rFonts w:ascii="Times New Roman" w:hAnsi="Times New Roman"/>
          <w:b w:val="0"/>
          <w:i w:val="0"/>
          <w:sz w:val="20"/>
          <w:vertAlign w:val="superscript"/>
        </w:rPr>
        <w:t>3</w:t>
      </w:r>
      <w:r>
        <w:rPr>
          <w:rFonts w:ascii="Times New Roman" w:hAnsi="Times New Roman"/>
          <w:b w:val="0"/>
          <w:i w:val="0"/>
          <w:sz w:val="20"/>
        </w:rPr>
        <w:t>/min, a quarter of the printed step.</w:t>
      </w:r>
    </w:p>
    <w:p>
      <w:pPr>
        <w:keepNext w:val="0"/>
        <w:spacing w:after="40" w:before="0"/>
        <w:ind w:firstLine="202"/>
        <w:jc w:val="both"/>
      </w:pPr>
      <w:r>
        <w:rPr>
          <w:rFonts w:ascii="Times New Roman" w:hAnsi="Times New Roman"/>
          <w:b w:val="0"/>
          <w:i w:val="0"/>
          <w:sz w:val="20"/>
        </w:rPr>
        <w:t>Two input sets were compared (Table II). The base set contains peak current, pulse-on time, duty factor and the electrode material encoded by name (one-hot); these are known for every run. The physics set replaces the electrode's name with its melting point, thermal conductivity, density and a thermal index (melting point in kelvin times thermal conductivity), uses the logarithms of pulse-on time and charge per spark, and adds the workpiece class, the dielectric and whether a special process (here, powder mixing [25]) was used. For copper, graphite and brass the property values are the medians of those reported in the source studies [3]–[5], [23], [24]; for CuCrZr and CuCo1Ni1Be, which [22] does not characterize, approximate handbook values were used [27]. Optional inputs were used only when at least 80% of the runs had them, which excluded electrode polarity (known for 65% of the runs) and gap voltage (31%).</w:t>
      </w:r>
    </w:p>
    <w:p>
      <w:pPr>
        <w:keepNext/>
        <w:spacing w:after="0" w:before="0"/>
        <w:jc w:val="center"/>
      </w:pPr>
      <w:r>
        <w:rPr>
          <w:rFonts w:ascii="Times New Roman" w:hAnsi="Times New Roman"/>
          <w:b w:val="0"/>
          <w:i w:val="0"/>
          <w:sz w:val="16"/>
        </w:rPr>
        <w:t>TABLE II</w:t>
      </w:r>
    </w:p>
    <w:p>
      <w:pPr>
        <w:keepNext/>
        <w:spacing w:after="40" w:before="0"/>
        <w:jc w:val="center"/>
      </w:pPr>
      <w:r>
        <w:rPr>
          <w:rFonts w:ascii="Times New Roman" w:hAnsi="Times New Roman"/>
          <w:b w:val="0"/>
          <w:i w:val="0"/>
          <w:sz w:val="14"/>
        </w:rPr>
        <w:t>INPUTS IN EACH SET</w:t>
      </w:r>
    </w:p>
    <w:tbl>
      <w:tblPr>
        <w:tblW w:type="dxa" w:w="4968"/>
        <w:jc w:val="center"/>
        <w:tblLayout w:type="fixed"/>
        <w:tblLook w:firstColumn="1" w:firstRow="1" w:lastColumn="0" w:lastRow="0" w:noHBand="0" w:noVBand="1" w:val="04A0"/>
        <w:tblCellMar>
          <w:left w:w="43" w:type="dxa"/>
          <w:right w:w="43" w:type="dxa"/>
        </w:tblCellMar>
        <w:tblBorders>
          <w:top w:val="single" w:sz="6"/>
          <w:left w:val="nil"/>
          <w:bottom w:val="single" w:sz="6"/>
          <w:right w:val="nil"/>
          <w:insideH w:val="nil"/>
          <w:insideV w:val="nil"/>
        </w:tblBorders>
      </w:tblPr>
      <w:tblGrid>
        <w:gridCol w:w="2520"/>
        <w:gridCol w:w="648"/>
        <w:gridCol w:w="864"/>
        <w:gridCol w:w="936"/>
      </w:tblGrid>
      <w:tr>
        <w:trPr>
          <w:cantSplit/>
        </w:trPr>
        <w:tc>
          <w:tcPr>
            <w:tcW w:type="dxa" w:w="2520"/>
            <w:tcBorders>
              <w:bottom w:val="single" w:sz="4"/>
            </w:tcBorders>
          </w:tcPr>
          <w:p>
            <w:pPr>
              <w:keepNext/>
              <w:spacing w:after="0"/>
              <w:jc w:val="left"/>
            </w:pPr>
            <w:r/>
            <w:r>
              <w:rPr>
                <w:rFonts w:ascii="Times New Roman" w:hAnsi="Times New Roman"/>
                <w:b/>
                <w:i w:val="0"/>
                <w:sz w:val="14"/>
              </w:rPr>
              <w:t>Input</w:t>
            </w:r>
          </w:p>
        </w:tc>
        <w:tc>
          <w:tcPr>
            <w:tcW w:type="dxa" w:w="648"/>
            <w:tcBorders>
              <w:bottom w:val="single" w:sz="4"/>
            </w:tcBorders>
          </w:tcPr>
          <w:p>
            <w:pPr>
              <w:keepNext/>
              <w:spacing w:after="0"/>
              <w:jc w:val="center"/>
            </w:pPr>
            <w:r/>
            <w:r>
              <w:rPr>
                <w:rFonts w:ascii="Times New Roman" w:hAnsi="Times New Roman"/>
                <w:b/>
                <w:i w:val="0"/>
                <w:sz w:val="14"/>
              </w:rPr>
              <w:t>Base</w:t>
            </w:r>
          </w:p>
        </w:tc>
        <w:tc>
          <w:tcPr>
            <w:tcW w:type="dxa" w:w="864"/>
            <w:tcBorders>
              <w:bottom w:val="single" w:sz="4"/>
            </w:tcBorders>
          </w:tcPr>
          <w:p>
            <w:pPr>
              <w:keepNext/>
              <w:spacing w:after="0"/>
              <w:jc w:val="center"/>
            </w:pPr>
            <w:r/>
            <w:r>
              <w:rPr>
                <w:rFonts w:ascii="Times New Roman" w:hAnsi="Times New Roman"/>
                <w:b/>
                <w:i w:val="0"/>
                <w:sz w:val="14"/>
              </w:rPr>
              <w:t>Physics</w:t>
            </w:r>
          </w:p>
        </w:tc>
        <w:tc>
          <w:tcPr>
            <w:tcW w:type="dxa" w:w="936"/>
            <w:tcBorders>
              <w:bottom w:val="single" w:sz="4"/>
            </w:tcBorders>
          </w:tcPr>
          <w:p>
            <w:pPr>
              <w:keepNext/>
              <w:spacing w:after="0"/>
              <w:jc w:val="center"/>
            </w:pPr>
            <w:r/>
            <w:r>
              <w:rPr>
                <w:rFonts w:ascii="Times New Roman" w:hAnsi="Times New Roman"/>
                <w:b/>
                <w:i w:val="0"/>
                <w:sz w:val="14"/>
              </w:rPr>
              <w:t>Runs with a value</w:t>
            </w:r>
          </w:p>
        </w:tc>
      </w:tr>
      <w:tr>
        <w:trPr>
          <w:cantSplit/>
        </w:trPr>
        <w:tc>
          <w:tcPr>
            <w:tcW w:type="dxa" w:w="2520"/>
          </w:tcPr>
          <w:p>
            <w:pPr>
              <w:keepNext/>
              <w:spacing w:after="0"/>
              <w:jc w:val="left"/>
            </w:pPr>
            <w:r/>
            <w:r>
              <w:rPr>
                <w:rFonts w:ascii="Times New Roman" w:hAnsi="Times New Roman"/>
                <w:b w:val="0"/>
                <w:i w:val="0"/>
                <w:sz w:val="14"/>
              </w:rPr>
              <w:t>Peak current</w:t>
            </w:r>
          </w:p>
        </w:tc>
        <w:tc>
          <w:tcPr>
            <w:tcW w:type="dxa" w:w="648"/>
          </w:tcPr>
          <w:p>
            <w:pPr>
              <w:keepNext/>
              <w:spacing w:after="0"/>
              <w:jc w:val="center"/>
            </w:pPr>
            <w:r/>
            <w:r>
              <w:rPr>
                <w:rFonts w:ascii="Times New Roman" w:hAnsi="Times New Roman"/>
                <w:b w:val="0"/>
                <w:i w:val="0"/>
                <w:sz w:val="14"/>
              </w:rPr>
              <w:t>yes</w:t>
            </w:r>
          </w:p>
        </w:tc>
        <w:tc>
          <w:tcPr>
            <w:tcW w:type="dxa" w:w="864"/>
          </w:tcPr>
          <w:p>
            <w:pPr>
              <w:keepNext/>
              <w:spacing w:after="0"/>
              <w:jc w:val="center"/>
            </w:pPr>
            <w:r/>
            <w:r>
              <w:rPr>
                <w:rFonts w:ascii="Times New Roman" w:hAnsi="Times New Roman"/>
                <w:b w:val="0"/>
                <w:i w:val="0"/>
                <w:sz w:val="14"/>
              </w:rPr>
              <w:t>yes</w:t>
            </w:r>
          </w:p>
        </w:tc>
        <w:tc>
          <w:tcPr>
            <w:tcW w:type="dxa" w:w="936"/>
          </w:tcPr>
          <w:p>
            <w:pPr>
              <w:keepNext/>
              <w:spacing w:after="0"/>
              <w:jc w:val="center"/>
            </w:pPr>
            <w:r/>
            <w:r>
              <w:rPr>
                <w:rFonts w:ascii="Times New Roman" w:hAnsi="Times New Roman"/>
                <w:b w:val="0"/>
                <w:i w:val="0"/>
                <w:sz w:val="14"/>
              </w:rPr>
              <w:t>100%</w:t>
            </w:r>
          </w:p>
        </w:tc>
      </w:tr>
      <w:tr>
        <w:trPr>
          <w:cantSplit/>
        </w:trPr>
        <w:tc>
          <w:tcPr>
            <w:tcW w:type="dxa" w:w="2520"/>
          </w:tcPr>
          <w:p>
            <w:pPr>
              <w:keepNext/>
              <w:spacing w:after="0"/>
              <w:jc w:val="left"/>
            </w:pPr>
            <w:r/>
            <w:r>
              <w:rPr>
                <w:rFonts w:ascii="Times New Roman" w:hAnsi="Times New Roman"/>
                <w:b w:val="0"/>
                <w:i w:val="0"/>
                <w:sz w:val="14"/>
              </w:rPr>
              <w:t>Pulse-on time</w:t>
            </w:r>
          </w:p>
        </w:tc>
        <w:tc>
          <w:tcPr>
            <w:tcW w:type="dxa" w:w="648"/>
          </w:tcPr>
          <w:p>
            <w:pPr>
              <w:keepNext/>
              <w:spacing w:after="0"/>
              <w:jc w:val="center"/>
            </w:pPr>
            <w:r/>
            <w:r>
              <w:rPr>
                <w:rFonts w:ascii="Times New Roman" w:hAnsi="Times New Roman"/>
                <w:b w:val="0"/>
                <w:i w:val="0"/>
                <w:sz w:val="14"/>
              </w:rPr>
              <w:t>yes</w:t>
            </w:r>
          </w:p>
        </w:tc>
        <w:tc>
          <w:tcPr>
            <w:tcW w:type="dxa" w:w="864"/>
          </w:tcPr>
          <w:p>
            <w:pPr>
              <w:keepNext/>
              <w:spacing w:after="0"/>
              <w:jc w:val="center"/>
            </w:pPr>
            <w:r/>
            <w:r>
              <w:rPr>
                <w:rFonts w:ascii="Times New Roman" w:hAnsi="Times New Roman"/>
                <w:b w:val="0"/>
                <w:i w:val="0"/>
                <w:sz w:val="14"/>
              </w:rPr>
              <w:t>log</w:t>
            </w:r>
          </w:p>
        </w:tc>
        <w:tc>
          <w:tcPr>
            <w:tcW w:type="dxa" w:w="936"/>
          </w:tcPr>
          <w:p>
            <w:pPr>
              <w:keepNext/>
              <w:spacing w:after="0"/>
              <w:jc w:val="center"/>
            </w:pPr>
            <w:r/>
            <w:r>
              <w:rPr>
                <w:rFonts w:ascii="Times New Roman" w:hAnsi="Times New Roman"/>
                <w:b w:val="0"/>
                <w:i w:val="0"/>
                <w:sz w:val="14"/>
              </w:rPr>
              <w:t>100%</w:t>
            </w:r>
          </w:p>
        </w:tc>
      </w:tr>
      <w:tr>
        <w:trPr>
          <w:cantSplit/>
        </w:trPr>
        <w:tc>
          <w:tcPr>
            <w:tcW w:type="dxa" w:w="2520"/>
          </w:tcPr>
          <w:p>
            <w:pPr>
              <w:keepNext/>
              <w:spacing w:after="0"/>
              <w:jc w:val="left"/>
            </w:pPr>
            <w:r/>
            <w:r>
              <w:rPr>
                <w:rFonts w:ascii="Times New Roman" w:hAnsi="Times New Roman"/>
                <w:b w:val="0"/>
                <w:i w:val="0"/>
                <w:sz w:val="14"/>
              </w:rPr>
              <w:t>Duty factor</w:t>
            </w:r>
          </w:p>
        </w:tc>
        <w:tc>
          <w:tcPr>
            <w:tcW w:type="dxa" w:w="648"/>
          </w:tcPr>
          <w:p>
            <w:pPr>
              <w:keepNext/>
              <w:spacing w:after="0"/>
              <w:jc w:val="center"/>
            </w:pPr>
            <w:r/>
            <w:r>
              <w:rPr>
                <w:rFonts w:ascii="Times New Roman" w:hAnsi="Times New Roman"/>
                <w:b w:val="0"/>
                <w:i w:val="0"/>
                <w:sz w:val="14"/>
              </w:rPr>
              <w:t>yes</w:t>
            </w:r>
          </w:p>
        </w:tc>
        <w:tc>
          <w:tcPr>
            <w:tcW w:type="dxa" w:w="864"/>
          </w:tcPr>
          <w:p>
            <w:pPr>
              <w:keepNext/>
              <w:spacing w:after="0"/>
              <w:jc w:val="center"/>
            </w:pPr>
            <w:r/>
            <w:r>
              <w:rPr>
                <w:rFonts w:ascii="Times New Roman" w:hAnsi="Times New Roman"/>
                <w:b w:val="0"/>
                <w:i w:val="0"/>
                <w:sz w:val="14"/>
              </w:rPr>
              <w:t>yes</w:t>
            </w:r>
          </w:p>
        </w:tc>
        <w:tc>
          <w:tcPr>
            <w:tcW w:type="dxa" w:w="936"/>
          </w:tcPr>
          <w:p>
            <w:pPr>
              <w:keepNext/>
              <w:spacing w:after="0"/>
              <w:jc w:val="center"/>
            </w:pPr>
            <w:r/>
            <w:r>
              <w:rPr>
                <w:rFonts w:ascii="Times New Roman" w:hAnsi="Times New Roman"/>
                <w:b w:val="0"/>
                <w:i w:val="0"/>
                <w:sz w:val="14"/>
              </w:rPr>
              <w:t>100%</w:t>
            </w:r>
          </w:p>
        </w:tc>
      </w:tr>
      <w:tr>
        <w:trPr>
          <w:cantSplit/>
        </w:trPr>
        <w:tc>
          <w:tcPr>
            <w:tcW w:type="dxa" w:w="2520"/>
          </w:tcPr>
          <w:p>
            <w:pPr>
              <w:keepNext/>
              <w:spacing w:after="0"/>
              <w:jc w:val="left"/>
            </w:pPr>
            <w:r/>
            <w:r>
              <w:rPr>
                <w:rFonts w:ascii="Times New Roman" w:hAnsi="Times New Roman"/>
                <w:b w:val="0"/>
                <w:i w:val="0"/>
                <w:sz w:val="14"/>
              </w:rPr>
              <w:t>Electrode material (name)</w:t>
            </w:r>
          </w:p>
        </w:tc>
        <w:tc>
          <w:tcPr>
            <w:tcW w:type="dxa" w:w="648"/>
          </w:tcPr>
          <w:p>
            <w:pPr>
              <w:keepNext/>
              <w:spacing w:after="0"/>
              <w:jc w:val="center"/>
            </w:pPr>
            <w:r/>
            <w:r>
              <w:rPr>
                <w:rFonts w:ascii="Times New Roman" w:hAnsi="Times New Roman"/>
                <w:b w:val="0"/>
                <w:i w:val="0"/>
                <w:sz w:val="14"/>
              </w:rPr>
              <w:t>yes</w:t>
            </w:r>
          </w:p>
        </w:tc>
        <w:tc>
          <w:tcPr>
            <w:tcW w:type="dxa" w:w="864"/>
          </w:tcPr>
          <w:p>
            <w:pPr>
              <w:keepNext/>
              <w:spacing w:after="0"/>
              <w:jc w:val="center"/>
            </w:pPr>
            <w:r/>
            <w:r>
              <w:rPr>
                <w:rFonts w:ascii="Times New Roman" w:hAnsi="Times New Roman"/>
                <w:b w:val="0"/>
                <w:i w:val="0"/>
                <w:sz w:val="14"/>
              </w:rPr>
              <w:t>no</w:t>
            </w:r>
          </w:p>
        </w:tc>
        <w:tc>
          <w:tcPr>
            <w:tcW w:type="dxa" w:w="936"/>
          </w:tcPr>
          <w:p>
            <w:pPr>
              <w:keepNext/>
              <w:spacing w:after="0"/>
              <w:jc w:val="center"/>
            </w:pPr>
            <w:r/>
            <w:r>
              <w:rPr>
                <w:rFonts w:ascii="Times New Roman" w:hAnsi="Times New Roman"/>
                <w:b w:val="0"/>
                <w:i w:val="0"/>
                <w:sz w:val="14"/>
              </w:rPr>
              <w:t>100%</w:t>
            </w:r>
          </w:p>
        </w:tc>
      </w:tr>
      <w:tr>
        <w:trPr>
          <w:cantSplit/>
        </w:trPr>
        <w:tc>
          <w:tcPr>
            <w:tcW w:type="dxa" w:w="2520"/>
          </w:tcPr>
          <w:p>
            <w:pPr>
              <w:keepNext/>
              <w:spacing w:after="0"/>
              <w:jc w:val="left"/>
            </w:pPr>
            <w:r/>
            <w:r>
              <w:rPr>
                <w:rFonts w:ascii="Times New Roman" w:hAnsi="Times New Roman"/>
                <w:b w:val="0"/>
                <w:i w:val="0"/>
                <w:sz w:val="14"/>
              </w:rPr>
              <w:t>Charge per spark</w:t>
            </w:r>
          </w:p>
        </w:tc>
        <w:tc>
          <w:tcPr>
            <w:tcW w:type="dxa" w:w="648"/>
          </w:tcPr>
          <w:p>
            <w:pPr>
              <w:keepNext/>
              <w:spacing w:after="0"/>
              <w:jc w:val="center"/>
            </w:pPr>
            <w:r/>
            <w:r>
              <w:rPr>
                <w:rFonts w:ascii="Times New Roman" w:hAnsi="Times New Roman"/>
                <w:b w:val="0"/>
                <w:i w:val="0"/>
                <w:sz w:val="14"/>
              </w:rPr>
              <w:t>no</w:t>
            </w:r>
          </w:p>
        </w:tc>
        <w:tc>
          <w:tcPr>
            <w:tcW w:type="dxa" w:w="864"/>
          </w:tcPr>
          <w:p>
            <w:pPr>
              <w:keepNext/>
              <w:spacing w:after="0"/>
              <w:jc w:val="center"/>
            </w:pPr>
            <w:r/>
            <w:r>
              <w:rPr>
                <w:rFonts w:ascii="Times New Roman" w:hAnsi="Times New Roman"/>
                <w:b w:val="0"/>
                <w:i w:val="0"/>
                <w:sz w:val="14"/>
              </w:rPr>
              <w:t>log</w:t>
            </w:r>
          </w:p>
        </w:tc>
        <w:tc>
          <w:tcPr>
            <w:tcW w:type="dxa" w:w="936"/>
          </w:tcPr>
          <w:p>
            <w:pPr>
              <w:keepNext/>
              <w:spacing w:after="0"/>
              <w:jc w:val="center"/>
            </w:pPr>
            <w:r/>
            <w:r>
              <w:rPr>
                <w:rFonts w:ascii="Times New Roman" w:hAnsi="Times New Roman"/>
                <w:b w:val="0"/>
                <w:i w:val="0"/>
                <w:sz w:val="14"/>
              </w:rPr>
              <w:t>100%</w:t>
            </w:r>
          </w:p>
        </w:tc>
      </w:tr>
      <w:tr>
        <w:trPr>
          <w:cantSplit/>
        </w:trPr>
        <w:tc>
          <w:tcPr>
            <w:tcW w:type="dxa" w:w="2520"/>
          </w:tcPr>
          <w:p>
            <w:pPr>
              <w:keepNext/>
              <w:spacing w:after="0"/>
              <w:jc w:val="left"/>
            </w:pPr>
            <w:r/>
            <w:r>
              <w:rPr>
                <w:rFonts w:ascii="Times New Roman" w:hAnsi="Times New Roman"/>
                <w:b w:val="0"/>
                <w:i w:val="0"/>
                <w:sz w:val="14"/>
              </w:rPr>
              <w:t>Electrode melting point, conductivity, density, thermal index</w:t>
            </w:r>
          </w:p>
        </w:tc>
        <w:tc>
          <w:tcPr>
            <w:tcW w:type="dxa" w:w="648"/>
          </w:tcPr>
          <w:p>
            <w:pPr>
              <w:keepNext/>
              <w:spacing w:after="0"/>
              <w:jc w:val="center"/>
            </w:pPr>
            <w:r/>
            <w:r>
              <w:rPr>
                <w:rFonts w:ascii="Times New Roman" w:hAnsi="Times New Roman"/>
                <w:b w:val="0"/>
                <w:i w:val="0"/>
                <w:sz w:val="14"/>
              </w:rPr>
              <w:t>no</w:t>
            </w:r>
          </w:p>
        </w:tc>
        <w:tc>
          <w:tcPr>
            <w:tcW w:type="dxa" w:w="864"/>
          </w:tcPr>
          <w:p>
            <w:pPr>
              <w:keepNext/>
              <w:spacing w:after="0"/>
              <w:jc w:val="center"/>
            </w:pPr>
            <w:r/>
            <w:r>
              <w:rPr>
                <w:rFonts w:ascii="Times New Roman" w:hAnsi="Times New Roman"/>
                <w:b w:val="0"/>
                <w:i w:val="0"/>
                <w:sz w:val="14"/>
              </w:rPr>
              <w:t>yes</w:t>
            </w:r>
          </w:p>
        </w:tc>
        <w:tc>
          <w:tcPr>
            <w:tcW w:type="dxa" w:w="936"/>
          </w:tcPr>
          <w:p>
            <w:pPr>
              <w:keepNext/>
              <w:spacing w:after="0"/>
              <w:jc w:val="center"/>
            </w:pPr>
            <w:r/>
            <w:r>
              <w:rPr>
                <w:rFonts w:ascii="Times New Roman" w:hAnsi="Times New Roman"/>
                <w:b w:val="0"/>
                <w:i w:val="0"/>
                <w:sz w:val="14"/>
              </w:rPr>
              <w:t>100%</w:t>
            </w:r>
          </w:p>
        </w:tc>
      </w:tr>
      <w:tr>
        <w:trPr>
          <w:cantSplit/>
        </w:trPr>
        <w:tc>
          <w:tcPr>
            <w:tcW w:type="dxa" w:w="2520"/>
          </w:tcPr>
          <w:p>
            <w:pPr>
              <w:keepNext/>
              <w:spacing w:after="0"/>
              <w:jc w:val="left"/>
            </w:pPr>
            <w:r/>
            <w:r>
              <w:rPr>
                <w:rFonts w:ascii="Times New Roman" w:hAnsi="Times New Roman"/>
                <w:b w:val="0"/>
                <w:i w:val="0"/>
                <w:sz w:val="14"/>
              </w:rPr>
              <w:t>Workpiece class</w:t>
            </w:r>
          </w:p>
        </w:tc>
        <w:tc>
          <w:tcPr>
            <w:tcW w:type="dxa" w:w="648"/>
          </w:tcPr>
          <w:p>
            <w:pPr>
              <w:keepNext/>
              <w:spacing w:after="0"/>
              <w:jc w:val="center"/>
            </w:pPr>
            <w:r/>
            <w:r>
              <w:rPr>
                <w:rFonts w:ascii="Times New Roman" w:hAnsi="Times New Roman"/>
                <w:b w:val="0"/>
                <w:i w:val="0"/>
                <w:sz w:val="14"/>
              </w:rPr>
              <w:t>no</w:t>
            </w:r>
          </w:p>
        </w:tc>
        <w:tc>
          <w:tcPr>
            <w:tcW w:type="dxa" w:w="864"/>
          </w:tcPr>
          <w:p>
            <w:pPr>
              <w:keepNext/>
              <w:spacing w:after="0"/>
              <w:jc w:val="center"/>
            </w:pPr>
            <w:r/>
            <w:r>
              <w:rPr>
                <w:rFonts w:ascii="Times New Roman" w:hAnsi="Times New Roman"/>
                <w:b w:val="0"/>
                <w:i w:val="0"/>
                <w:sz w:val="14"/>
              </w:rPr>
              <w:t>yes</w:t>
            </w:r>
          </w:p>
        </w:tc>
        <w:tc>
          <w:tcPr>
            <w:tcW w:type="dxa" w:w="936"/>
          </w:tcPr>
          <w:p>
            <w:pPr>
              <w:keepNext/>
              <w:spacing w:after="0"/>
              <w:jc w:val="center"/>
            </w:pPr>
            <w:r/>
            <w:r>
              <w:rPr>
                <w:rFonts w:ascii="Times New Roman" w:hAnsi="Times New Roman"/>
                <w:b w:val="0"/>
                <w:i w:val="0"/>
                <w:sz w:val="14"/>
              </w:rPr>
              <w:t>100%</w:t>
            </w:r>
          </w:p>
        </w:tc>
      </w:tr>
      <w:tr>
        <w:trPr>
          <w:cantSplit/>
        </w:trPr>
        <w:tc>
          <w:tcPr>
            <w:tcW w:type="dxa" w:w="2520"/>
          </w:tcPr>
          <w:p>
            <w:pPr>
              <w:keepNext/>
              <w:spacing w:after="0"/>
              <w:jc w:val="left"/>
            </w:pPr>
            <w:r/>
            <w:r>
              <w:rPr>
                <w:rFonts w:ascii="Times New Roman" w:hAnsi="Times New Roman"/>
                <w:b w:val="0"/>
                <w:i w:val="0"/>
                <w:sz w:val="14"/>
              </w:rPr>
              <w:t>Dielectric</w:t>
            </w:r>
          </w:p>
        </w:tc>
        <w:tc>
          <w:tcPr>
            <w:tcW w:type="dxa" w:w="648"/>
          </w:tcPr>
          <w:p>
            <w:pPr>
              <w:keepNext/>
              <w:spacing w:after="0"/>
              <w:jc w:val="center"/>
            </w:pPr>
            <w:r/>
            <w:r>
              <w:rPr>
                <w:rFonts w:ascii="Times New Roman" w:hAnsi="Times New Roman"/>
                <w:b w:val="0"/>
                <w:i w:val="0"/>
                <w:sz w:val="14"/>
              </w:rPr>
              <w:t>no</w:t>
            </w:r>
          </w:p>
        </w:tc>
        <w:tc>
          <w:tcPr>
            <w:tcW w:type="dxa" w:w="864"/>
          </w:tcPr>
          <w:p>
            <w:pPr>
              <w:keepNext/>
              <w:spacing w:after="0"/>
              <w:jc w:val="center"/>
            </w:pPr>
            <w:r/>
            <w:r>
              <w:rPr>
                <w:rFonts w:ascii="Times New Roman" w:hAnsi="Times New Roman"/>
                <w:b w:val="0"/>
                <w:i w:val="0"/>
                <w:sz w:val="14"/>
              </w:rPr>
              <w:t>yes</w:t>
            </w:r>
          </w:p>
        </w:tc>
        <w:tc>
          <w:tcPr>
            <w:tcW w:type="dxa" w:w="936"/>
          </w:tcPr>
          <w:p>
            <w:pPr>
              <w:keepNext/>
              <w:spacing w:after="0"/>
              <w:jc w:val="center"/>
            </w:pPr>
            <w:r/>
            <w:r>
              <w:rPr>
                <w:rFonts w:ascii="Times New Roman" w:hAnsi="Times New Roman"/>
                <w:b w:val="0"/>
                <w:i w:val="0"/>
                <w:sz w:val="14"/>
              </w:rPr>
              <w:t>94%</w:t>
            </w:r>
          </w:p>
        </w:tc>
      </w:tr>
      <w:tr>
        <w:trPr>
          <w:cantSplit/>
        </w:trPr>
        <w:tc>
          <w:tcPr>
            <w:tcW w:type="dxa" w:w="2520"/>
          </w:tcPr>
          <w:p>
            <w:pPr>
              <w:keepNext/>
              <w:spacing w:after="0"/>
              <w:jc w:val="left"/>
            </w:pPr>
            <w:r/>
            <w:r>
              <w:rPr>
                <w:rFonts w:ascii="Times New Roman" w:hAnsi="Times New Roman"/>
                <w:b w:val="0"/>
                <w:i w:val="0"/>
                <w:sz w:val="14"/>
              </w:rPr>
              <w:t>Special process</w:t>
            </w:r>
          </w:p>
        </w:tc>
        <w:tc>
          <w:tcPr>
            <w:tcW w:type="dxa" w:w="648"/>
          </w:tcPr>
          <w:p>
            <w:pPr>
              <w:keepNext/>
              <w:spacing w:after="0"/>
              <w:jc w:val="center"/>
            </w:pPr>
            <w:r/>
            <w:r>
              <w:rPr>
                <w:rFonts w:ascii="Times New Roman" w:hAnsi="Times New Roman"/>
                <w:b w:val="0"/>
                <w:i w:val="0"/>
                <w:sz w:val="14"/>
              </w:rPr>
              <w:t>no</w:t>
            </w:r>
          </w:p>
        </w:tc>
        <w:tc>
          <w:tcPr>
            <w:tcW w:type="dxa" w:w="864"/>
          </w:tcPr>
          <w:p>
            <w:pPr>
              <w:keepNext/>
              <w:spacing w:after="0"/>
              <w:jc w:val="center"/>
            </w:pPr>
            <w:r/>
            <w:r>
              <w:rPr>
                <w:rFonts w:ascii="Times New Roman" w:hAnsi="Times New Roman"/>
                <w:b w:val="0"/>
                <w:i w:val="0"/>
                <w:sz w:val="14"/>
              </w:rPr>
              <w:t>yes</w:t>
            </w:r>
          </w:p>
        </w:tc>
        <w:tc>
          <w:tcPr>
            <w:tcW w:type="dxa" w:w="936"/>
          </w:tcPr>
          <w:p>
            <w:pPr>
              <w:keepNext/>
              <w:spacing w:after="0"/>
              <w:jc w:val="center"/>
            </w:pPr>
            <w:r/>
            <w:r>
              <w:rPr>
                <w:rFonts w:ascii="Times New Roman" w:hAnsi="Times New Roman"/>
                <w:b w:val="0"/>
                <w:i w:val="0"/>
                <w:sz w:val="14"/>
              </w:rPr>
              <w:t>100%</w:t>
            </w:r>
          </w:p>
        </w:tc>
      </w:tr>
      <w:tr>
        <w:trPr>
          <w:cantSplit/>
        </w:trPr>
        <w:tc>
          <w:tcPr>
            <w:tcW w:type="dxa" w:w="2520"/>
          </w:tcPr>
          <w:p>
            <w:pPr>
              <w:keepNext/>
              <w:spacing w:after="0"/>
              <w:jc w:val="left"/>
            </w:pPr>
            <w:r/>
            <w:r>
              <w:rPr>
                <w:rFonts w:ascii="Times New Roman" w:hAnsi="Times New Roman"/>
                <w:b w:val="0"/>
                <w:i w:val="0"/>
                <w:sz w:val="14"/>
              </w:rPr>
              <w:t>Electrode polarity</w:t>
            </w:r>
          </w:p>
        </w:tc>
        <w:tc>
          <w:tcPr>
            <w:tcW w:type="dxa" w:w="648"/>
          </w:tcPr>
          <w:p>
            <w:pPr>
              <w:keepNext/>
              <w:spacing w:after="0"/>
              <w:jc w:val="center"/>
            </w:pPr>
            <w:r/>
            <w:r>
              <w:rPr>
                <w:rFonts w:ascii="Times New Roman" w:hAnsi="Times New Roman"/>
                <w:b w:val="0"/>
                <w:i w:val="0"/>
                <w:sz w:val="14"/>
              </w:rPr>
              <w:t>no</w:t>
            </w:r>
          </w:p>
        </w:tc>
        <w:tc>
          <w:tcPr>
            <w:tcW w:type="dxa" w:w="864"/>
          </w:tcPr>
          <w:p>
            <w:pPr>
              <w:keepNext/>
              <w:spacing w:after="0"/>
              <w:jc w:val="center"/>
            </w:pPr>
            <w:r/>
            <w:r>
              <w:rPr>
                <w:rFonts w:ascii="Times New Roman" w:hAnsi="Times New Roman"/>
                <w:b w:val="0"/>
                <w:i w:val="0"/>
                <w:sz w:val="14"/>
              </w:rPr>
              <w:t>excluded</w:t>
            </w:r>
          </w:p>
        </w:tc>
        <w:tc>
          <w:tcPr>
            <w:tcW w:type="dxa" w:w="936"/>
          </w:tcPr>
          <w:p>
            <w:pPr>
              <w:keepNext/>
              <w:spacing w:after="0"/>
              <w:jc w:val="center"/>
            </w:pPr>
            <w:r/>
            <w:r>
              <w:rPr>
                <w:rFonts w:ascii="Times New Roman" w:hAnsi="Times New Roman"/>
                <w:b w:val="0"/>
                <w:i w:val="0"/>
                <w:sz w:val="14"/>
              </w:rPr>
              <w:t>65%</w:t>
            </w:r>
          </w:p>
        </w:tc>
      </w:tr>
      <w:tr>
        <w:trPr>
          <w:cantSplit/>
        </w:trPr>
        <w:tc>
          <w:tcPr>
            <w:tcW w:type="dxa" w:w="2520"/>
          </w:tcPr>
          <w:p>
            <w:pPr>
              <w:keepNext/>
              <w:spacing w:after="0"/>
              <w:jc w:val="left"/>
            </w:pPr>
            <w:r/>
            <w:r>
              <w:rPr>
                <w:rFonts w:ascii="Times New Roman" w:hAnsi="Times New Roman"/>
                <w:b w:val="0"/>
                <w:i w:val="0"/>
                <w:sz w:val="14"/>
              </w:rPr>
              <w:t>Gap voltage</w:t>
            </w:r>
          </w:p>
        </w:tc>
        <w:tc>
          <w:tcPr>
            <w:tcW w:type="dxa" w:w="648"/>
          </w:tcPr>
          <w:p>
            <w:pPr>
              <w:keepNext/>
              <w:spacing w:after="0"/>
              <w:jc w:val="center"/>
            </w:pPr>
            <w:r/>
            <w:r>
              <w:rPr>
                <w:rFonts w:ascii="Times New Roman" w:hAnsi="Times New Roman"/>
                <w:b w:val="0"/>
                <w:i w:val="0"/>
                <w:sz w:val="14"/>
              </w:rPr>
              <w:t>no</w:t>
            </w:r>
          </w:p>
        </w:tc>
        <w:tc>
          <w:tcPr>
            <w:tcW w:type="dxa" w:w="864"/>
          </w:tcPr>
          <w:p>
            <w:pPr>
              <w:keepNext/>
              <w:spacing w:after="0"/>
              <w:jc w:val="center"/>
            </w:pPr>
            <w:r/>
            <w:r>
              <w:rPr>
                <w:rFonts w:ascii="Times New Roman" w:hAnsi="Times New Roman"/>
                <w:b w:val="0"/>
                <w:i w:val="0"/>
                <w:sz w:val="14"/>
              </w:rPr>
              <w:t>excluded</w:t>
            </w:r>
          </w:p>
        </w:tc>
        <w:tc>
          <w:tcPr>
            <w:tcW w:type="dxa" w:w="936"/>
          </w:tcPr>
          <w:p>
            <w:pPr>
              <w:keepNext/>
              <w:spacing w:after="0"/>
              <w:jc w:val="center"/>
            </w:pPr>
            <w:r/>
            <w:r>
              <w:rPr>
                <w:rFonts w:ascii="Times New Roman" w:hAnsi="Times New Roman"/>
                <w:b w:val="0"/>
                <w:i w:val="0"/>
                <w:sz w:val="14"/>
              </w:rPr>
              <w:t>31%</w:t>
            </w:r>
          </w:p>
        </w:tc>
      </w:tr>
    </w:tbl>
    <w:p>
      <w:pPr>
        <w:keepNext w:val="0"/>
        <w:spacing w:after="120" w:before="0"/>
        <w:jc w:val="left"/>
      </w:pPr>
      <w:r>
        <w:rPr>
          <w:rFonts w:ascii="Times New Roman" w:hAnsi="Times New Roman"/>
          <w:b w:val="0"/>
          <w:i w:val="0"/>
          <w:sz w:val="14"/>
        </w:rPr>
        <w:t>Inputs known for fewer than 80% of runs were excluded. An unstated dielectric is its own category.</w:t>
      </w:r>
    </w:p>
    <w:p>
      <w:pPr>
        <w:keepNext/>
        <w:spacing w:after="40" w:before="80"/>
        <w:jc w:val="left"/>
      </w:pPr>
      <w:r>
        <w:rPr>
          <w:rFonts w:ascii="Times New Roman" w:hAnsi="Times New Roman"/>
          <w:b w:val="0"/>
          <w:i/>
          <w:sz w:val="20"/>
        </w:rPr>
        <w:t>E. Models</w:t>
      </w:r>
    </w:p>
    <w:p>
      <w:pPr>
        <w:keepNext w:val="0"/>
        <w:spacing w:after="40" w:before="0"/>
        <w:ind w:firstLine="202"/>
        <w:jc w:val="both"/>
      </w:pPr>
      <w:r>
        <w:rPr>
          <w:rFonts w:ascii="Times New Roman" w:hAnsi="Times New Roman"/>
          <w:b w:val="0"/>
          <w:i w:val="0"/>
          <w:sz w:val="20"/>
        </w:rPr>
        <w:t>Six models and a baseline were compared, all implemented with scikit-learn [28] and the XGBoost library [29]; Table III lists the settings. Ridge regression [30] is a linear model with an L2 penalty, chosen by efficient leave-one-out error on the training runs. Random forest [31] averages 200 regression trees grown on bootstrap samples. XGBoost [29] builds 200 gradient-boosted trees in sequence. The ANN [32] is a multilayer perceptron trained with the L-BFGS optimizer. SVR [33] uses a radial basis function kernel. The stacked ensemble [34] combines out-of-fold predictions (internal 5-fold) of RF, XGBoost, SVR and ANN with a linear model whose weights cannot be negative. Numerical inputs are standardized on the training data. The mean baseline predicts the average training target.</w:t>
      </w:r>
    </w:p>
    <w:p>
      <w:pPr>
        <w:keepNext/>
        <w:spacing w:after="0" w:before="0"/>
        <w:jc w:val="center"/>
      </w:pPr>
      <w:r>
        <w:rPr>
          <w:rFonts w:ascii="Times New Roman" w:hAnsi="Times New Roman"/>
          <w:b w:val="0"/>
          <w:i w:val="0"/>
          <w:sz w:val="16"/>
        </w:rPr>
        <w:t>TABLE III</w:t>
      </w:r>
    </w:p>
    <w:p>
      <w:pPr>
        <w:keepNext/>
        <w:spacing w:after="40" w:before="0"/>
        <w:jc w:val="center"/>
      </w:pPr>
      <w:r>
        <w:rPr>
          <w:rFonts w:ascii="Times New Roman" w:hAnsi="Times New Roman"/>
          <w:b w:val="0"/>
          <w:i w:val="0"/>
          <w:sz w:val="14"/>
        </w:rPr>
        <w:t>MODEL SETTINGS</w:t>
      </w:r>
    </w:p>
    <w:tbl>
      <w:tblPr>
        <w:tblW w:type="dxa" w:w="4968"/>
        <w:jc w:val="center"/>
        <w:tblLayout w:type="fixed"/>
        <w:tblLook w:firstColumn="1" w:firstRow="1" w:lastColumn="0" w:lastRow="0" w:noHBand="0" w:noVBand="1" w:val="04A0"/>
        <w:tblCellMar>
          <w:left w:w="43" w:type="dxa"/>
          <w:right w:w="43" w:type="dxa"/>
        </w:tblCellMar>
        <w:tblBorders>
          <w:top w:val="single" w:sz="6"/>
          <w:left w:val="nil"/>
          <w:bottom w:val="single" w:sz="6"/>
          <w:right w:val="nil"/>
          <w:insideH w:val="nil"/>
          <w:insideV w:val="nil"/>
        </w:tblBorders>
      </w:tblPr>
      <w:tblGrid>
        <w:gridCol w:w="864"/>
        <w:gridCol w:w="1944"/>
        <w:gridCol w:w="2160"/>
      </w:tblGrid>
      <w:tr>
        <w:trPr>
          <w:cantSplit/>
        </w:trPr>
        <w:tc>
          <w:tcPr>
            <w:tcW w:type="dxa" w:w="864"/>
            <w:tcBorders>
              <w:bottom w:val="single" w:sz="4"/>
            </w:tcBorders>
          </w:tcPr>
          <w:p>
            <w:pPr>
              <w:keepNext/>
              <w:spacing w:after="0"/>
              <w:jc w:val="left"/>
            </w:pPr>
            <w:r/>
            <w:r>
              <w:rPr>
                <w:rFonts w:ascii="Times New Roman" w:hAnsi="Times New Roman"/>
                <w:b/>
                <w:i w:val="0"/>
                <w:sz w:val="14"/>
              </w:rPr>
              <w:t>Model</w:t>
            </w:r>
          </w:p>
        </w:tc>
        <w:tc>
          <w:tcPr>
            <w:tcW w:type="dxa" w:w="1944"/>
            <w:tcBorders>
              <w:bottom w:val="single" w:sz="4"/>
            </w:tcBorders>
          </w:tcPr>
          <w:p>
            <w:pPr>
              <w:keepNext/>
              <w:spacing w:after="0"/>
              <w:jc w:val="center"/>
            </w:pPr>
            <w:r/>
            <w:r>
              <w:rPr>
                <w:rFonts w:ascii="Times New Roman" w:hAnsi="Times New Roman"/>
                <w:b/>
                <w:i w:val="0"/>
                <w:sz w:val="14"/>
              </w:rPr>
              <w:t>Tuned (grid)</w:t>
            </w:r>
          </w:p>
        </w:tc>
        <w:tc>
          <w:tcPr>
            <w:tcW w:type="dxa" w:w="2160"/>
            <w:tcBorders>
              <w:bottom w:val="single" w:sz="4"/>
            </w:tcBorders>
          </w:tcPr>
          <w:p>
            <w:pPr>
              <w:keepNext/>
              <w:spacing w:after="0"/>
              <w:jc w:val="center"/>
            </w:pPr>
            <w:r/>
            <w:r>
              <w:rPr>
                <w:rFonts w:ascii="Times New Roman" w:hAnsi="Times New Roman"/>
                <w:b/>
                <w:i w:val="0"/>
                <w:sz w:val="14"/>
              </w:rPr>
              <w:t>Fixed</w:t>
            </w:r>
          </w:p>
        </w:tc>
      </w:tr>
      <w:tr>
        <w:trPr>
          <w:cantSplit/>
        </w:trPr>
        <w:tc>
          <w:tcPr>
            <w:tcW w:type="dxa" w:w="864"/>
          </w:tcPr>
          <w:p>
            <w:pPr>
              <w:keepNext/>
              <w:spacing w:after="0"/>
              <w:jc w:val="left"/>
            </w:pPr>
            <w:r/>
            <w:r>
              <w:rPr>
                <w:rFonts w:ascii="Times New Roman" w:hAnsi="Times New Roman"/>
                <w:b w:val="0"/>
                <w:i w:val="0"/>
                <w:sz w:val="14"/>
              </w:rPr>
              <w:t>Ridge</w:t>
            </w:r>
          </w:p>
        </w:tc>
        <w:tc>
          <w:tcPr>
            <w:tcW w:type="dxa" w:w="1944"/>
          </w:tcPr>
          <w:p>
            <w:pPr>
              <w:keepNext/>
              <w:spacing w:after="0"/>
              <w:jc w:val="center"/>
            </w:pPr>
            <w:r/>
            <w:r>
              <w:rPr>
                <w:rFonts w:ascii="Times New Roman" w:hAnsi="Times New Roman"/>
                <w:b w:val="0"/>
                <w:i w:val="0"/>
                <w:sz w:val="14"/>
              </w:rPr>
              <w:t>α by leave-one-out, 10</w:t>
            </w:r>
            <w:r>
              <w:rPr>
                <w:rFonts w:ascii="Times New Roman" w:hAnsi="Times New Roman"/>
                <w:b w:val="0"/>
                <w:i w:val="0"/>
                <w:sz w:val="14"/>
                <w:vertAlign w:val="superscript"/>
              </w:rPr>
              <w:t>−3</w:t>
            </w:r>
            <w:r>
              <w:rPr>
                <w:rFonts w:ascii="Times New Roman" w:hAnsi="Times New Roman"/>
                <w:b w:val="0"/>
                <w:i w:val="0"/>
                <w:sz w:val="14"/>
              </w:rPr>
              <w:t>–10</w:t>
            </w:r>
            <w:r>
              <w:rPr>
                <w:rFonts w:ascii="Times New Roman" w:hAnsi="Times New Roman"/>
                <w:b w:val="0"/>
                <w:i w:val="0"/>
                <w:sz w:val="14"/>
                <w:vertAlign w:val="superscript"/>
              </w:rPr>
              <w:t>3</w:t>
            </w:r>
          </w:p>
        </w:tc>
        <w:tc>
          <w:tcPr>
            <w:tcW w:type="dxa" w:w="2160"/>
          </w:tcPr>
          <w:p>
            <w:pPr>
              <w:keepNext/>
              <w:spacing w:after="0"/>
              <w:jc w:val="center"/>
            </w:pPr>
            <w:r/>
            <w:r>
              <w:rPr>
                <w:rFonts w:ascii="Times New Roman" w:hAnsi="Times New Roman"/>
                <w:b w:val="0"/>
                <w:i w:val="0"/>
                <w:sz w:val="14"/>
              </w:rPr>
              <w:t>–</w:t>
            </w:r>
          </w:p>
        </w:tc>
      </w:tr>
      <w:tr>
        <w:trPr>
          <w:cantSplit/>
        </w:trPr>
        <w:tc>
          <w:tcPr>
            <w:tcW w:type="dxa" w:w="864"/>
          </w:tcPr>
          <w:p>
            <w:pPr>
              <w:keepNext/>
              <w:spacing w:after="0"/>
              <w:jc w:val="left"/>
            </w:pPr>
            <w:r/>
            <w:r>
              <w:rPr>
                <w:rFonts w:ascii="Times New Roman" w:hAnsi="Times New Roman"/>
                <w:b w:val="0"/>
                <w:i w:val="0"/>
                <w:sz w:val="14"/>
              </w:rPr>
              <w:t>RF</w:t>
            </w:r>
          </w:p>
        </w:tc>
        <w:tc>
          <w:tcPr>
            <w:tcW w:type="dxa" w:w="1944"/>
          </w:tcPr>
          <w:p>
            <w:pPr>
              <w:keepNext/>
              <w:spacing w:after="0"/>
              <w:jc w:val="center"/>
            </w:pPr>
            <w:r/>
            <w:r>
              <w:rPr>
                <w:rFonts w:ascii="Times New Roman" w:hAnsi="Times New Roman"/>
                <w:b w:val="0"/>
                <w:i w:val="0"/>
                <w:sz w:val="14"/>
              </w:rPr>
              <w:t>max. depth {None, 5}; min. leaf {1, 3}</w:t>
            </w:r>
          </w:p>
        </w:tc>
        <w:tc>
          <w:tcPr>
            <w:tcW w:type="dxa" w:w="2160"/>
          </w:tcPr>
          <w:p>
            <w:pPr>
              <w:keepNext/>
              <w:spacing w:after="0"/>
              <w:jc w:val="center"/>
            </w:pPr>
            <w:r/>
            <w:r>
              <w:rPr>
                <w:rFonts w:ascii="Times New Roman" w:hAnsi="Times New Roman"/>
                <w:b w:val="0"/>
                <w:i w:val="0"/>
                <w:sz w:val="14"/>
              </w:rPr>
              <w:t>200 trees; max. features 0.7</w:t>
            </w:r>
          </w:p>
        </w:tc>
      </w:tr>
      <w:tr>
        <w:trPr>
          <w:cantSplit/>
        </w:trPr>
        <w:tc>
          <w:tcPr>
            <w:tcW w:type="dxa" w:w="864"/>
          </w:tcPr>
          <w:p>
            <w:pPr>
              <w:keepNext/>
              <w:spacing w:after="0"/>
              <w:jc w:val="left"/>
            </w:pPr>
            <w:r/>
            <w:r>
              <w:rPr>
                <w:rFonts w:ascii="Times New Roman" w:hAnsi="Times New Roman"/>
                <w:b w:val="0"/>
                <w:i w:val="0"/>
                <w:sz w:val="14"/>
              </w:rPr>
              <w:t>XGBoost</w:t>
            </w:r>
          </w:p>
        </w:tc>
        <w:tc>
          <w:tcPr>
            <w:tcW w:type="dxa" w:w="1944"/>
          </w:tcPr>
          <w:p>
            <w:pPr>
              <w:keepNext/>
              <w:spacing w:after="0"/>
              <w:jc w:val="center"/>
            </w:pPr>
            <w:r/>
            <w:r>
              <w:rPr>
                <w:rFonts w:ascii="Times New Roman" w:hAnsi="Times New Roman"/>
                <w:b w:val="0"/>
                <w:i w:val="0"/>
                <w:sz w:val="14"/>
              </w:rPr>
              <w:t>max. depth {2, 4}; learning rate {0.05, 0.1}</w:t>
            </w:r>
          </w:p>
        </w:tc>
        <w:tc>
          <w:tcPr>
            <w:tcW w:type="dxa" w:w="2160"/>
          </w:tcPr>
          <w:p>
            <w:pPr>
              <w:keepNext/>
              <w:spacing w:after="0"/>
              <w:jc w:val="center"/>
            </w:pPr>
            <w:r/>
            <w:r>
              <w:rPr>
                <w:rFonts w:ascii="Times New Roman" w:hAnsi="Times New Roman"/>
                <w:b w:val="0"/>
                <w:i w:val="0"/>
                <w:sz w:val="14"/>
              </w:rPr>
              <w:t>200 trees; subsample 0.8; column sample 0.8; min. child weight 2</w:t>
            </w:r>
          </w:p>
        </w:tc>
      </w:tr>
      <w:tr>
        <w:trPr>
          <w:cantSplit/>
        </w:trPr>
        <w:tc>
          <w:tcPr>
            <w:tcW w:type="dxa" w:w="864"/>
          </w:tcPr>
          <w:p>
            <w:pPr>
              <w:keepNext/>
              <w:spacing w:after="0"/>
              <w:jc w:val="left"/>
            </w:pPr>
            <w:r/>
            <w:r>
              <w:rPr>
                <w:rFonts w:ascii="Times New Roman" w:hAnsi="Times New Roman"/>
                <w:b w:val="0"/>
                <w:i w:val="0"/>
                <w:sz w:val="14"/>
              </w:rPr>
              <w:t>ANN</w:t>
            </w:r>
          </w:p>
        </w:tc>
        <w:tc>
          <w:tcPr>
            <w:tcW w:type="dxa" w:w="1944"/>
          </w:tcPr>
          <w:p>
            <w:pPr>
              <w:keepNext/>
              <w:spacing w:after="0"/>
              <w:jc w:val="center"/>
            </w:pPr>
            <w:r/>
            <w:r>
              <w:rPr>
                <w:rFonts w:ascii="Times New Roman" w:hAnsi="Times New Roman"/>
                <w:b w:val="0"/>
                <w:i w:val="0"/>
                <w:sz w:val="14"/>
              </w:rPr>
              <w:t>hidden layers {(8), (16, 8)}; L2 {0.1, 1.0}</w:t>
            </w:r>
          </w:p>
        </w:tc>
        <w:tc>
          <w:tcPr>
            <w:tcW w:type="dxa" w:w="2160"/>
          </w:tcPr>
          <w:p>
            <w:pPr>
              <w:keepNext/>
              <w:spacing w:after="0"/>
              <w:jc w:val="center"/>
            </w:pPr>
            <w:r/>
            <w:r>
              <w:rPr>
                <w:rFonts w:ascii="Times New Roman" w:hAnsi="Times New Roman"/>
                <w:b w:val="0"/>
                <w:i w:val="0"/>
                <w:sz w:val="14"/>
              </w:rPr>
              <w:t>L-BFGS; up to 5000 iterations</w:t>
            </w:r>
          </w:p>
        </w:tc>
      </w:tr>
      <w:tr>
        <w:trPr>
          <w:cantSplit/>
        </w:trPr>
        <w:tc>
          <w:tcPr>
            <w:tcW w:type="dxa" w:w="864"/>
          </w:tcPr>
          <w:p>
            <w:pPr>
              <w:keepNext/>
              <w:spacing w:after="0"/>
              <w:jc w:val="left"/>
            </w:pPr>
            <w:r/>
            <w:r>
              <w:rPr>
                <w:rFonts w:ascii="Times New Roman" w:hAnsi="Times New Roman"/>
                <w:b w:val="0"/>
                <w:i w:val="0"/>
                <w:sz w:val="14"/>
              </w:rPr>
              <w:t>SVR</w:t>
            </w:r>
          </w:p>
        </w:tc>
        <w:tc>
          <w:tcPr>
            <w:tcW w:type="dxa" w:w="1944"/>
          </w:tcPr>
          <w:p>
            <w:pPr>
              <w:keepNext/>
              <w:spacing w:after="0"/>
              <w:jc w:val="center"/>
            </w:pPr>
            <w:r/>
            <w:r>
              <w:rPr>
                <w:rFonts w:ascii="Times New Roman" w:hAnsi="Times New Roman"/>
                <w:b w:val="0"/>
                <w:i w:val="0"/>
                <w:sz w:val="14"/>
              </w:rPr>
              <w:t>C {1, 3, 10, 30}; γ {scale, 0.1}</w:t>
            </w:r>
          </w:p>
        </w:tc>
        <w:tc>
          <w:tcPr>
            <w:tcW w:type="dxa" w:w="2160"/>
          </w:tcPr>
          <w:p>
            <w:pPr>
              <w:keepNext/>
              <w:spacing w:after="0"/>
              <w:jc w:val="center"/>
            </w:pPr>
            <w:r/>
            <w:r>
              <w:rPr>
                <w:rFonts w:ascii="Times New Roman" w:hAnsi="Times New Roman"/>
                <w:b w:val="0"/>
                <w:i w:val="0"/>
                <w:sz w:val="14"/>
              </w:rPr>
              <w:t>RBF kernel; ε = 0.1</w:t>
            </w:r>
          </w:p>
        </w:tc>
      </w:tr>
      <w:tr>
        <w:trPr>
          <w:cantSplit/>
        </w:trPr>
        <w:tc>
          <w:tcPr>
            <w:tcW w:type="dxa" w:w="864"/>
          </w:tcPr>
          <w:p>
            <w:pPr>
              <w:keepNext/>
              <w:spacing w:after="0"/>
              <w:jc w:val="left"/>
            </w:pPr>
            <w:r/>
            <w:r>
              <w:rPr>
                <w:rFonts w:ascii="Times New Roman" w:hAnsi="Times New Roman"/>
                <w:b w:val="0"/>
                <w:i w:val="0"/>
                <w:sz w:val="14"/>
              </w:rPr>
              <w:t>Stacked</w:t>
            </w:r>
          </w:p>
        </w:tc>
        <w:tc>
          <w:tcPr>
            <w:tcW w:type="dxa" w:w="1944"/>
          </w:tcPr>
          <w:p>
            <w:pPr>
              <w:keepNext/>
              <w:spacing w:after="0"/>
              <w:jc w:val="center"/>
            </w:pPr>
            <w:r/>
            <w:r>
              <w:rPr>
                <w:rFonts w:ascii="Times New Roman" w:hAnsi="Times New Roman"/>
                <w:b w:val="0"/>
                <w:i w:val="0"/>
                <w:sz w:val="14"/>
              </w:rPr>
              <w:t>none</w:t>
            </w:r>
          </w:p>
        </w:tc>
        <w:tc>
          <w:tcPr>
            <w:tcW w:type="dxa" w:w="2160"/>
          </w:tcPr>
          <w:p>
            <w:pPr>
              <w:keepNext/>
              <w:spacing w:after="0"/>
              <w:jc w:val="center"/>
            </w:pPr>
            <w:r/>
            <w:r>
              <w:rPr>
                <w:rFonts w:ascii="Times New Roman" w:hAnsi="Times New Roman"/>
                <w:b w:val="0"/>
                <w:i w:val="0"/>
                <w:sz w:val="14"/>
              </w:rPr>
              <w:t>RF (min. leaf 2), XGBoost (depth 3, rate 0.05), SVR (C = 3), ANN (16 units, L2 1.0); non-negative linear blend</w:t>
            </w:r>
          </w:p>
        </w:tc>
      </w:tr>
    </w:tbl>
    <w:p>
      <w:pPr>
        <w:keepNext w:val="0"/>
        <w:spacing w:after="120" w:before="0"/>
        <w:jc w:val="left"/>
      </w:pPr>
    </w:p>
    <w:p>
      <w:pPr>
        <w:keepNext/>
        <w:spacing w:after="40" w:before="80"/>
        <w:jc w:val="left"/>
      </w:pPr>
      <w:r>
        <w:rPr>
          <w:rFonts w:ascii="Times New Roman" w:hAnsi="Times New Roman"/>
          <w:b w:val="0"/>
          <w:i/>
          <w:sz w:val="20"/>
        </w:rPr>
        <w:t>F. Validation</w:t>
      </w:r>
    </w:p>
    <w:p>
      <w:pPr>
        <w:keepNext w:val="0"/>
        <w:spacing w:after="40" w:before="0"/>
        <w:ind w:firstLine="202"/>
        <w:jc w:val="both"/>
      </w:pPr>
      <w:r>
        <w:rPr>
          <w:rFonts w:ascii="Times New Roman" w:hAnsi="Times New Roman"/>
          <w:b w:val="0"/>
          <w:i w:val="0"/>
          <w:sz w:val="20"/>
        </w:rPr>
        <w:t>In random 5-fold cross-validation (CV) the runs are shuffled and split into five folds, so runs from one study appear in both training and test data; this was repeated with three different shuffles. In leave-one-paper-out (LOPO) validation each study is held out in turn and the model is trained on the other nine, which estimates performance in a new laboratory [12]. The grids of Table III were searched inside the training data only, by 5-fold CV for random CV and by leave-one-paper-out over the nine training studies for LOPO; the ridge penalty was chosen by leave-one-out on the training runs, and the stacked ensemble has fixed settings. No test run therefore influenced model selection [13]. Scores were computed from the pooled out-of-fold predictions.</w:t>
      </w:r>
    </w:p>
    <w:p>
      <w:pPr>
        <w:keepNext/>
        <w:spacing w:after="40" w:before="80"/>
        <w:jc w:val="left"/>
      </w:pPr>
      <w:r>
        <w:rPr>
          <w:rFonts w:ascii="Times New Roman" w:hAnsi="Times New Roman"/>
          <w:b w:val="0"/>
          <w:i/>
          <w:sz w:val="20"/>
        </w:rPr>
        <w:t>G. Within-Study Models and Few-Run Calibration</w:t>
      </w:r>
    </w:p>
    <w:p>
      <w:pPr>
        <w:keepNext w:val="0"/>
        <w:spacing w:after="40" w:before="0"/>
        <w:ind w:firstLine="202"/>
        <w:jc w:val="both"/>
      </w:pPr>
      <w:r>
        <w:rPr>
          <w:rFonts w:ascii="Times New Roman" w:hAnsi="Times New Roman"/>
          <w:b w:val="0"/>
          <w:i w:val="0"/>
          <w:sz w:val="20"/>
        </w:rPr>
        <w:t>Because each study has its own wear level, a second family of models was fitted to within-study variation only. Both the inputs and the target are centred on the mean of the run's own study, x − x̄</w:t>
      </w:r>
      <w:r>
        <w:rPr>
          <w:rFonts w:ascii="Times New Roman" w:hAnsi="Times New Roman"/>
          <w:b w:val="0"/>
          <w:i w:val="0"/>
          <w:sz w:val="20"/>
          <w:vertAlign w:val="subscript"/>
        </w:rPr>
        <w:t>s</w:t>
      </w:r>
      <w:r>
        <w:rPr>
          <w:rFonts w:ascii="Times New Roman" w:hAnsi="Times New Roman"/>
          <w:b w:val="0"/>
          <w:i w:val="0"/>
          <w:sz w:val="20"/>
        </w:rPr>
        <w:t xml:space="preserve"> and y − ȳ</w:t>
      </w:r>
      <w:r>
        <w:rPr>
          <w:rFonts w:ascii="Times New Roman" w:hAnsi="Times New Roman"/>
          <w:b w:val="0"/>
          <w:i w:val="0"/>
          <w:sz w:val="20"/>
          <w:vertAlign w:val="subscript"/>
        </w:rPr>
        <w:t>s</w:t>
      </w:r>
      <w:r>
        <w:rPr>
          <w:rFonts w:ascii="Times New Roman" w:hAnsi="Times New Roman"/>
          <w:b w:val="0"/>
          <w:i w:val="0"/>
          <w:sz w:val="20"/>
        </w:rPr>
        <w:t>, as in the fixed-effects (within) estimator of a model with a separate intercept for each study [17]. Such a model learns how wear changes with the settings inside a study but nothing about a study's level. For a held-out study the inputs are centred on that study's own settings, which are known before any run is made. Six forms were tested under LOPO: ridge regression on peak current only, ridge on the base and on the physics inputs, and RF, SVR and an XGBoost model constrained to be non-decreasing in peak current, the last three on the physics inputs.</w:t>
      </w:r>
    </w:p>
    <w:p>
      <w:pPr>
        <w:keepNext w:val="0"/>
        <w:spacing w:after="40" w:before="0"/>
        <w:ind w:firstLine="202"/>
        <w:jc w:val="both"/>
      </w:pPr>
      <w:r>
        <w:rPr>
          <w:rFonts w:ascii="Times New Roman" w:hAnsi="Times New Roman"/>
          <w:b w:val="0"/>
          <w:i w:val="0"/>
          <w:sz w:val="20"/>
        </w:rPr>
        <w:t>For a new study the level is then set from k of its runs: the prediction for run i is the mean of the k measured values plus f(x</w:t>
      </w:r>
      <w:r>
        <w:rPr>
          <w:rFonts w:ascii="Times New Roman" w:hAnsi="Times New Roman"/>
          <w:b w:val="0"/>
          <w:i w:val="0"/>
          <w:sz w:val="20"/>
          <w:vertAlign w:val="subscript"/>
        </w:rPr>
        <w:t>i</w:t>
      </w:r>
      <w:r>
        <w:rPr>
          <w:rFonts w:ascii="Times New Roman" w:hAnsi="Times New Roman"/>
          <w:b w:val="0"/>
          <w:i w:val="0"/>
          <w:sz w:val="20"/>
        </w:rPr>
        <w:t>) minus the mean of f over those k runs. Applied to the ordinary (absolute) models, the same formula is the offset calibration proposed in the preliminary version of this work. Both are compared with the simplest alternative, predicting every remaining run as the mean of the k measured runs. For each held-out study and k = 1, 2, 3 and 5, 1000 random sets of k runs were drawn, every method was scored on the same sets, and errors were measured on the remaining runs.</w:t>
      </w:r>
    </w:p>
    <w:p>
      <w:pPr>
        <w:keepNext/>
        <w:spacing w:after="40" w:before="80"/>
        <w:jc w:val="left"/>
      </w:pPr>
      <w:r>
        <w:rPr>
          <w:rFonts w:ascii="Times New Roman" w:hAnsi="Times New Roman"/>
          <w:b w:val="0"/>
          <w:i/>
          <w:sz w:val="20"/>
        </w:rPr>
        <w:t>H. Metrics</w:t>
      </w:r>
    </w:p>
    <w:p>
      <w:pPr>
        <w:keepNext w:val="0"/>
        <w:spacing w:after="40" w:before="0"/>
        <w:ind w:firstLine="202"/>
        <w:jc w:val="both"/>
      </w:pPr>
      <w:r>
        <w:rPr>
          <w:rFonts w:ascii="Times New Roman" w:hAnsi="Times New Roman"/>
          <w:b w:val="0"/>
          <w:i w:val="0"/>
          <w:sz w:val="20"/>
        </w:rPr>
        <w:t>With y</w:t>
      </w:r>
      <w:r>
        <w:rPr>
          <w:rFonts w:ascii="Times New Roman" w:hAnsi="Times New Roman"/>
          <w:b w:val="0"/>
          <w:i w:val="0"/>
          <w:sz w:val="20"/>
          <w:vertAlign w:val="subscript"/>
        </w:rPr>
        <w:t>i</w:t>
      </w:r>
      <w:r>
        <w:rPr>
          <w:rFonts w:ascii="Times New Roman" w:hAnsi="Times New Roman"/>
          <w:b w:val="0"/>
          <w:i w:val="0"/>
          <w:sz w:val="20"/>
        </w:rPr>
        <w:t xml:space="preserve"> and ŷ</w:t>
      </w:r>
      <w:r>
        <w:rPr>
          <w:rFonts w:ascii="Times New Roman" w:hAnsi="Times New Roman"/>
          <w:b w:val="0"/>
          <w:i w:val="0"/>
          <w:sz w:val="20"/>
          <w:vertAlign w:val="subscript"/>
        </w:rPr>
        <w:t>i</w:t>
      </w:r>
      <w:r>
        <w:rPr>
          <w:rFonts w:ascii="Times New Roman" w:hAnsi="Times New Roman"/>
          <w:b w:val="0"/>
          <w:i w:val="0"/>
          <w:sz w:val="20"/>
        </w:rPr>
        <w:t xml:space="preserve"> the observed and predicted log</w:t>
      </w:r>
      <w:r>
        <w:rPr>
          <w:rFonts w:ascii="Times New Roman" w:hAnsi="Times New Roman"/>
          <w:b w:val="0"/>
          <w:i w:val="0"/>
          <w:sz w:val="20"/>
          <w:vertAlign w:val="subscript"/>
        </w:rPr>
        <w:t>10</w:t>
      </w:r>
      <w:r>
        <w:rPr>
          <w:rFonts w:ascii="Times New Roman" w:hAnsi="Times New Roman"/>
          <w:b w:val="0"/>
          <w:i w:val="0"/>
          <w:sz w:val="20"/>
        </w:rPr>
        <w:t>(TWR) of run i and ȳ the mean of the observed values, R</w:t>
      </w:r>
      <w:r>
        <w:rPr>
          <w:rFonts w:ascii="Times New Roman" w:hAnsi="Times New Roman"/>
          <w:b w:val="0"/>
          <w:i w:val="0"/>
          <w:sz w:val="20"/>
          <w:vertAlign w:val="superscript"/>
        </w:rPr>
        <w:t>2</w:t>
      </w:r>
      <w:r>
        <w:rPr>
          <w:rFonts w:ascii="Times New Roman" w:hAnsi="Times New Roman"/>
          <w:b w:val="0"/>
          <w:i w:val="0"/>
          <w:sz w:val="20"/>
        </w:rPr>
        <w:t xml:space="preserve"> = 1 − Σ(y</w:t>
      </w:r>
      <w:r>
        <w:rPr>
          <w:rFonts w:ascii="Times New Roman" w:hAnsi="Times New Roman"/>
          <w:b w:val="0"/>
          <w:i w:val="0"/>
          <w:sz w:val="20"/>
          <w:vertAlign w:val="subscript"/>
        </w:rPr>
        <w:t>i</w:t>
      </w:r>
      <w:r>
        <w:rPr>
          <w:rFonts w:ascii="Times New Roman" w:hAnsi="Times New Roman"/>
          <w:b w:val="0"/>
          <w:i w:val="0"/>
          <w:sz w:val="20"/>
        </w:rPr>
        <w:t xml:space="preserve"> − ŷ</w:t>
      </w:r>
      <w:r>
        <w:rPr>
          <w:rFonts w:ascii="Times New Roman" w:hAnsi="Times New Roman"/>
          <w:b w:val="0"/>
          <w:i w:val="0"/>
          <w:sz w:val="20"/>
          <w:vertAlign w:val="subscript"/>
        </w:rPr>
        <w:t>i</w:t>
      </w:r>
      <w:r>
        <w:rPr>
          <w:rFonts w:ascii="Times New Roman" w:hAnsi="Times New Roman"/>
          <w:b w:val="0"/>
          <w:i w:val="0"/>
          <w:sz w:val="20"/>
        </w:rPr>
        <w:t>)</w:t>
      </w:r>
      <w:r>
        <w:rPr>
          <w:rFonts w:ascii="Times New Roman" w:hAnsi="Times New Roman"/>
          <w:b w:val="0"/>
          <w:i w:val="0"/>
          <w:sz w:val="20"/>
          <w:vertAlign w:val="superscript"/>
        </w:rPr>
        <w:t>2</w:t>
      </w:r>
      <w:r>
        <w:rPr>
          <w:rFonts w:ascii="Times New Roman" w:hAnsi="Times New Roman"/>
          <w:b w:val="0"/>
          <w:i w:val="0"/>
          <w:sz w:val="20"/>
        </w:rPr>
        <w:t xml:space="preserve"> / Σ(y</w:t>
      </w:r>
      <w:r>
        <w:rPr>
          <w:rFonts w:ascii="Times New Roman" w:hAnsi="Times New Roman"/>
          <w:b w:val="0"/>
          <w:i w:val="0"/>
          <w:sz w:val="20"/>
          <w:vertAlign w:val="subscript"/>
        </w:rPr>
        <w:t>i</w:t>
      </w:r>
      <w:r>
        <w:rPr>
          <w:rFonts w:ascii="Times New Roman" w:hAnsi="Times New Roman"/>
          <w:b w:val="0"/>
          <w:i w:val="0"/>
          <w:sz w:val="20"/>
        </w:rPr>
        <w:t xml:space="preserve"> − ȳ)</w:t>
      </w:r>
      <w:r>
        <w:rPr>
          <w:rFonts w:ascii="Times New Roman" w:hAnsi="Times New Roman"/>
          <w:b w:val="0"/>
          <w:i w:val="0"/>
          <w:sz w:val="20"/>
          <w:vertAlign w:val="superscript"/>
        </w:rPr>
        <w:t>2</w:t>
      </w:r>
      <w:r>
        <w:rPr>
          <w:rFonts w:ascii="Times New Roman" w:hAnsi="Times New Roman"/>
          <w:b w:val="0"/>
          <w:i w:val="0"/>
          <w:sz w:val="20"/>
        </w:rPr>
        <w:t xml:space="preserve"> and MAE = (1/n) Σ|y</w:t>
      </w:r>
      <w:r>
        <w:rPr>
          <w:rFonts w:ascii="Times New Roman" w:hAnsi="Times New Roman"/>
          <w:b w:val="0"/>
          <w:i w:val="0"/>
          <w:sz w:val="20"/>
          <w:vertAlign w:val="subscript"/>
        </w:rPr>
        <w:t>i</w:t>
      </w:r>
      <w:r>
        <w:rPr>
          <w:rFonts w:ascii="Times New Roman" w:hAnsi="Times New Roman"/>
          <w:b w:val="0"/>
          <w:i w:val="0"/>
          <w:sz w:val="20"/>
        </w:rPr>
        <w:t xml:space="preserve"> − ŷ</w:t>
      </w:r>
      <w:r>
        <w:rPr>
          <w:rFonts w:ascii="Times New Roman" w:hAnsi="Times New Roman"/>
          <w:b w:val="0"/>
          <w:i w:val="0"/>
          <w:sz w:val="20"/>
          <w:vertAlign w:val="subscript"/>
        </w:rPr>
        <w:t>i</w:t>
      </w:r>
      <w:r>
        <w:rPr>
          <w:rFonts w:ascii="Times New Roman" w:hAnsi="Times New Roman"/>
          <w:b w:val="0"/>
          <w:i w:val="0"/>
          <w:sz w:val="20"/>
        </w:rPr>
        <w:t>|. Because y is a logarithm, 10</w:t>
      </w:r>
      <w:r>
        <w:rPr>
          <w:rFonts w:ascii="Times New Roman" w:hAnsi="Times New Roman"/>
          <w:b w:val="0"/>
          <w:i w:val="0"/>
          <w:sz w:val="20"/>
          <w:vertAlign w:val="superscript"/>
        </w:rPr>
        <w:t>MAE</w:t>
      </w:r>
      <w:r>
        <w:rPr>
          <w:rFonts w:ascii="Times New Roman" w:hAnsi="Times New Roman"/>
          <w:b w:val="0"/>
          <w:i w:val="0"/>
          <w:sz w:val="20"/>
        </w:rPr>
        <w:t xml:space="preserve"> is the typical factor by which predictions miss (MAE = 0.30 means about ×2); we call it the typical error factor. R</w:t>
      </w:r>
      <w:r>
        <w:rPr>
          <w:rFonts w:ascii="Times New Roman" w:hAnsi="Times New Roman"/>
          <w:b w:val="0"/>
          <w:i w:val="0"/>
          <w:sz w:val="20"/>
          <w:vertAlign w:val="superscript"/>
        </w:rPr>
        <w:t>2</w:t>
      </w:r>
      <w:r>
        <w:rPr>
          <w:rFonts w:ascii="Times New Roman" w:hAnsi="Times New Roman"/>
          <w:b w:val="0"/>
          <w:i w:val="0"/>
          <w:sz w:val="20"/>
        </w:rPr>
        <w:t xml:space="preserve"> was also computed in mm</w:t>
      </w:r>
      <w:r>
        <w:rPr>
          <w:rFonts w:ascii="Times New Roman" w:hAnsi="Times New Roman"/>
          <w:b w:val="0"/>
          <w:i w:val="0"/>
          <w:sz w:val="20"/>
          <w:vertAlign w:val="superscript"/>
        </w:rPr>
        <w:t>3</w:t>
      </w:r>
      <w:r>
        <w:rPr>
          <w:rFonts w:ascii="Times New Roman" w:hAnsi="Times New Roman"/>
          <w:b w:val="0"/>
          <w:i w:val="0"/>
          <w:sz w:val="20"/>
        </w:rPr>
        <w:t>/min. For each held-out study we report the Spearman rank correlation ρ between observed and predicted values, which shows whether the model orders the runs correctly, and the mean bias of the log predictions, which shows whether the study's overall wear level is over- or under-predicted.</w:t>
      </w:r>
    </w:p>
    <w:p>
      <w:pPr>
        <w:keepNext/>
        <w:spacing w:after="60" w:before="160"/>
        <w:jc w:val="center"/>
      </w:pPr>
      <w:r>
        <w:rPr>
          <w:rFonts w:ascii="Times New Roman" w:hAnsi="Times New Roman"/>
          <w:b w:val="0"/>
          <w:i w:val="0"/>
          <w:sz w:val="20"/>
        </w:rPr>
        <w:t>IV. RESULTS</w:t>
      </w:r>
    </w:p>
    <w:p>
      <w:pPr>
        <w:keepNext/>
        <w:spacing w:after="40" w:before="80"/>
        <w:jc w:val="left"/>
      </w:pPr>
      <w:r>
        <w:rPr>
          <w:rFonts w:ascii="Times New Roman" w:hAnsi="Times New Roman"/>
          <w:b w:val="0"/>
          <w:i/>
          <w:sz w:val="20"/>
        </w:rPr>
        <w:t>A. Accuracy Under the Two Validation Schemes</w:t>
      </w:r>
    </w:p>
    <w:p>
      <w:pPr>
        <w:keepNext/>
        <w:spacing w:after="0" w:before="0"/>
        <w:jc w:val="center"/>
      </w:pPr>
      <w:r>
        <w:rPr>
          <w:rFonts w:ascii="Times New Roman" w:hAnsi="Times New Roman"/>
          <w:b w:val="0"/>
          <w:i w:val="0"/>
          <w:sz w:val="16"/>
        </w:rPr>
        <w:t>TABLE IV</w:t>
      </w:r>
    </w:p>
    <w:p>
      <w:pPr>
        <w:keepNext/>
        <w:spacing w:after="40" w:before="0"/>
        <w:jc w:val="center"/>
      </w:pPr>
      <w:r>
        <w:rPr>
          <w:rFonts w:ascii="Times New Roman" w:hAnsi="Times New Roman"/>
          <w:b w:val="0"/>
          <w:i w:val="0"/>
          <w:sz w:val="14"/>
        </w:rPr>
        <w:t>MODEL ACCURACY ON THE LOG SCALE</w:t>
      </w:r>
    </w:p>
    <w:tbl>
      <w:tblPr>
        <w:tblW w:type="dxa" w:w="4968"/>
        <w:jc w:val="center"/>
        <w:tblLayout w:type="fixed"/>
        <w:tblLook w:firstColumn="1" w:firstRow="1" w:lastColumn="0" w:lastRow="0" w:noHBand="0" w:noVBand="1" w:val="04A0"/>
        <w:tblCellMar>
          <w:left w:w="43" w:type="dxa"/>
          <w:right w:w="43" w:type="dxa"/>
        </w:tblCellMar>
        <w:tblBorders>
          <w:top w:val="single" w:sz="6"/>
          <w:left w:val="nil"/>
          <w:bottom w:val="single" w:sz="6"/>
          <w:right w:val="nil"/>
          <w:insideH w:val="nil"/>
          <w:insideV w:val="nil"/>
        </w:tblBorders>
      </w:tblPr>
      <w:tblGrid>
        <w:gridCol w:w="979"/>
        <w:gridCol w:w="720"/>
        <w:gridCol w:w="604"/>
        <w:gridCol w:w="648"/>
        <w:gridCol w:w="676"/>
        <w:gridCol w:w="720"/>
        <w:gridCol w:w="619"/>
      </w:tblGrid>
      <w:tr>
        <w:trPr>
          <w:cantSplit/>
        </w:trPr>
        <w:tc>
          <w:tcPr>
            <w:tcW w:type="dxa" w:w="979"/>
            <w:tcBorders>
              <w:bottom w:val="single" w:sz="4"/>
            </w:tcBorders>
          </w:tcPr>
          <w:p>
            <w:pPr>
              <w:keepNext/>
              <w:spacing w:after="0"/>
              <w:jc w:val="left"/>
            </w:pPr>
            <w:r/>
            <w:r>
              <w:rPr>
                <w:rFonts w:ascii="Times New Roman" w:hAnsi="Times New Roman"/>
                <w:b/>
                <w:i w:val="0"/>
                <w:sz w:val="14"/>
              </w:rPr>
              <w:t>Model</w:t>
            </w:r>
          </w:p>
        </w:tc>
        <w:tc>
          <w:tcPr>
            <w:tcW w:type="dxa" w:w="720"/>
            <w:tcBorders>
              <w:bottom w:val="single" w:sz="4"/>
            </w:tcBorders>
          </w:tcPr>
          <w:p>
            <w:pPr>
              <w:keepNext/>
              <w:spacing w:after="0"/>
              <w:jc w:val="center"/>
            </w:pPr>
            <w:r/>
            <w:r>
              <w:rPr>
                <w:rFonts w:ascii="Times New Roman" w:hAnsi="Times New Roman"/>
                <w:b/>
                <w:i w:val="0"/>
                <w:sz w:val="14"/>
              </w:rPr>
              <w:t>Inputs</w:t>
            </w:r>
          </w:p>
        </w:tc>
        <w:tc>
          <w:tcPr>
            <w:tcW w:type="dxa" w:w="605"/>
            <w:tcBorders>
              <w:bottom w:val="single" w:sz="4"/>
            </w:tcBorders>
          </w:tcPr>
          <w:p>
            <w:pPr>
              <w:keepNext/>
              <w:spacing w:after="0"/>
              <w:jc w:val="center"/>
            </w:pPr>
            <w:r/>
            <w:r>
              <w:rPr>
                <w:rFonts w:ascii="Times New Roman" w:hAnsi="Times New Roman"/>
                <w:b/>
                <w:i w:val="0"/>
                <w:sz w:val="14"/>
              </w:rPr>
              <w:t>CV R²</w:t>
            </w:r>
          </w:p>
        </w:tc>
        <w:tc>
          <w:tcPr>
            <w:tcW w:type="dxa" w:w="648"/>
            <w:tcBorders>
              <w:bottom w:val="single" w:sz="4"/>
            </w:tcBorders>
          </w:tcPr>
          <w:p>
            <w:pPr>
              <w:keepNext/>
              <w:spacing w:after="0"/>
              <w:jc w:val="center"/>
            </w:pPr>
            <w:r/>
            <w:r>
              <w:rPr>
                <w:rFonts w:ascii="Times New Roman" w:hAnsi="Times New Roman"/>
                <w:b/>
                <w:i w:val="0"/>
                <w:sz w:val="14"/>
              </w:rPr>
              <w:t>CV error</w:t>
            </w:r>
          </w:p>
        </w:tc>
        <w:tc>
          <w:tcPr>
            <w:tcW w:type="dxa" w:w="677"/>
            <w:tcBorders>
              <w:bottom w:val="single" w:sz="4"/>
            </w:tcBorders>
          </w:tcPr>
          <w:p>
            <w:pPr>
              <w:keepNext/>
              <w:spacing w:after="0"/>
              <w:jc w:val="center"/>
            </w:pPr>
            <w:r/>
            <w:r>
              <w:rPr>
                <w:rFonts w:ascii="Times New Roman" w:hAnsi="Times New Roman"/>
                <w:b/>
                <w:i w:val="0"/>
                <w:sz w:val="14"/>
              </w:rPr>
              <w:t>LOPO R²</w:t>
            </w:r>
          </w:p>
        </w:tc>
        <w:tc>
          <w:tcPr>
            <w:tcW w:type="dxa" w:w="720"/>
            <w:tcBorders>
              <w:bottom w:val="single" w:sz="4"/>
            </w:tcBorders>
          </w:tcPr>
          <w:p>
            <w:pPr>
              <w:keepNext/>
              <w:spacing w:after="0"/>
              <w:jc w:val="center"/>
            </w:pPr>
            <w:r/>
            <w:r>
              <w:rPr>
                <w:rFonts w:ascii="Times New Roman" w:hAnsi="Times New Roman"/>
                <w:b/>
                <w:i w:val="0"/>
                <w:sz w:val="14"/>
              </w:rPr>
              <w:t>LOPO error</w:t>
            </w:r>
          </w:p>
        </w:tc>
        <w:tc>
          <w:tcPr>
            <w:tcW w:type="dxa" w:w="619"/>
            <w:tcBorders>
              <w:bottom w:val="single" w:sz="4"/>
            </w:tcBorders>
          </w:tcPr>
          <w:p>
            <w:pPr>
              <w:keepNext/>
              <w:spacing w:after="0"/>
              <w:jc w:val="center"/>
            </w:pPr>
            <w:r/>
            <w:r>
              <w:rPr>
                <w:rFonts w:ascii="Times New Roman" w:hAnsi="Times New Roman"/>
                <w:b/>
                <w:i w:val="0"/>
                <w:sz w:val="14"/>
              </w:rPr>
              <w:t>LOPO ρ</w:t>
            </w:r>
          </w:p>
        </w:tc>
      </w:tr>
      <w:tr>
        <w:trPr>
          <w:cantSplit/>
        </w:trPr>
        <w:tc>
          <w:tcPr>
            <w:tcW w:type="dxa" w:w="979"/>
          </w:tcPr>
          <w:p>
            <w:pPr>
              <w:keepNext/>
              <w:spacing w:after="0"/>
              <w:jc w:val="left"/>
            </w:pPr>
            <w:r/>
            <w:r>
              <w:rPr>
                <w:rFonts w:ascii="Times New Roman" w:hAnsi="Times New Roman"/>
                <w:b w:val="0"/>
                <w:i w:val="0"/>
                <w:sz w:val="14"/>
              </w:rPr>
              <w:t>Mean baseline</w:t>
            </w:r>
          </w:p>
        </w:tc>
        <w:tc>
          <w:tcPr>
            <w:tcW w:type="dxa" w:w="720"/>
          </w:tcPr>
          <w:p>
            <w:pPr>
              <w:keepNext/>
              <w:spacing w:after="0"/>
              <w:jc w:val="center"/>
            </w:pPr>
            <w:r/>
            <w:r>
              <w:rPr>
                <w:rFonts w:ascii="Times New Roman" w:hAnsi="Times New Roman"/>
                <w:b w:val="0"/>
                <w:i w:val="0"/>
                <w:sz w:val="14"/>
              </w:rPr>
              <w:t>both</w:t>
            </w:r>
          </w:p>
        </w:tc>
        <w:tc>
          <w:tcPr>
            <w:tcW w:type="dxa" w:w="605"/>
          </w:tcPr>
          <w:p>
            <w:pPr>
              <w:keepNext/>
              <w:spacing w:after="0"/>
              <w:jc w:val="center"/>
            </w:pPr>
            <w:r/>
            <w:r>
              <w:rPr>
                <w:rFonts w:ascii="Times New Roman" w:hAnsi="Times New Roman"/>
                <w:b w:val="0"/>
                <w:i w:val="0"/>
                <w:sz w:val="14"/>
              </w:rPr>
              <w:t>−0.01</w:t>
            </w:r>
          </w:p>
        </w:tc>
        <w:tc>
          <w:tcPr>
            <w:tcW w:type="dxa" w:w="648"/>
          </w:tcPr>
          <w:p>
            <w:pPr>
              <w:keepNext/>
              <w:spacing w:after="0"/>
              <w:jc w:val="center"/>
            </w:pPr>
            <w:r/>
            <w:r>
              <w:rPr>
                <w:rFonts w:ascii="Times New Roman" w:hAnsi="Times New Roman"/>
                <w:b w:val="0"/>
                <w:i w:val="0"/>
                <w:sz w:val="14"/>
              </w:rPr>
              <w:t>×5.4</w:t>
            </w:r>
          </w:p>
        </w:tc>
        <w:tc>
          <w:tcPr>
            <w:tcW w:type="dxa" w:w="677"/>
          </w:tcPr>
          <w:p>
            <w:pPr>
              <w:keepNext/>
              <w:spacing w:after="0"/>
              <w:jc w:val="center"/>
            </w:pPr>
            <w:r/>
            <w:r>
              <w:rPr>
                <w:rFonts w:ascii="Times New Roman" w:hAnsi="Times New Roman"/>
                <w:b w:val="0"/>
                <w:i w:val="0"/>
                <w:sz w:val="14"/>
              </w:rPr>
              <w:t>−0.22</w:t>
            </w:r>
          </w:p>
        </w:tc>
        <w:tc>
          <w:tcPr>
            <w:tcW w:type="dxa" w:w="720"/>
          </w:tcPr>
          <w:p>
            <w:pPr>
              <w:keepNext/>
              <w:spacing w:after="0"/>
              <w:jc w:val="center"/>
            </w:pPr>
            <w:r/>
            <w:r>
              <w:rPr>
                <w:rFonts w:ascii="Times New Roman" w:hAnsi="Times New Roman"/>
                <w:b w:val="0"/>
                <w:i w:val="0"/>
                <w:sz w:val="14"/>
              </w:rPr>
              <w:t>×6.5</w:t>
            </w:r>
          </w:p>
        </w:tc>
        <w:tc>
          <w:tcPr>
            <w:tcW w:type="dxa" w:w="619"/>
          </w:tcPr>
          <w:p>
            <w:pPr>
              <w:keepNext/>
              <w:spacing w:after="0"/>
              <w:jc w:val="center"/>
            </w:pPr>
            <w:r/>
            <w:r>
              <w:rPr>
                <w:rFonts w:ascii="Times New Roman" w:hAnsi="Times New Roman"/>
                <w:b w:val="0"/>
                <w:i w:val="0"/>
                <w:sz w:val="14"/>
              </w:rPr>
              <w:t>–</w:t>
            </w:r>
          </w:p>
        </w:tc>
      </w:tr>
      <w:tr>
        <w:trPr>
          <w:cantSplit/>
        </w:trPr>
        <w:tc>
          <w:tcPr>
            <w:tcW w:type="dxa" w:w="979"/>
          </w:tcPr>
          <w:p>
            <w:pPr>
              <w:keepNext/>
              <w:spacing w:after="0"/>
              <w:jc w:val="left"/>
            </w:pPr>
            <w:r/>
            <w:r>
              <w:rPr>
                <w:rFonts w:ascii="Times New Roman" w:hAnsi="Times New Roman"/>
                <w:b w:val="0"/>
                <w:i w:val="0"/>
                <w:sz w:val="14"/>
              </w:rPr>
              <w:t>Ridge</w:t>
            </w:r>
          </w:p>
        </w:tc>
        <w:tc>
          <w:tcPr>
            <w:tcW w:type="dxa" w:w="720"/>
          </w:tcPr>
          <w:p>
            <w:pPr>
              <w:keepNext/>
              <w:spacing w:after="0"/>
              <w:jc w:val="center"/>
            </w:pPr>
            <w:r/>
            <w:r>
              <w:rPr>
                <w:rFonts w:ascii="Times New Roman" w:hAnsi="Times New Roman"/>
                <w:b w:val="0"/>
                <w:i w:val="0"/>
                <w:sz w:val="14"/>
              </w:rPr>
              <w:t>base</w:t>
            </w:r>
          </w:p>
        </w:tc>
        <w:tc>
          <w:tcPr>
            <w:tcW w:type="dxa" w:w="605"/>
          </w:tcPr>
          <w:p>
            <w:pPr>
              <w:keepNext/>
              <w:spacing w:after="0"/>
              <w:jc w:val="center"/>
            </w:pPr>
            <w:r/>
            <w:r>
              <w:rPr>
                <w:rFonts w:ascii="Times New Roman" w:hAnsi="Times New Roman"/>
                <w:b w:val="0"/>
                <w:i w:val="0"/>
                <w:sz w:val="14"/>
              </w:rPr>
              <w:t>0.42</w:t>
            </w:r>
          </w:p>
        </w:tc>
        <w:tc>
          <w:tcPr>
            <w:tcW w:type="dxa" w:w="648"/>
          </w:tcPr>
          <w:p>
            <w:pPr>
              <w:keepNext/>
              <w:spacing w:after="0"/>
              <w:jc w:val="center"/>
            </w:pPr>
            <w:r/>
            <w:r>
              <w:rPr>
                <w:rFonts w:ascii="Times New Roman" w:hAnsi="Times New Roman"/>
                <w:b w:val="0"/>
                <w:i w:val="0"/>
                <w:sz w:val="14"/>
              </w:rPr>
              <w:t>×3.4</w:t>
            </w:r>
          </w:p>
        </w:tc>
        <w:tc>
          <w:tcPr>
            <w:tcW w:type="dxa" w:w="677"/>
          </w:tcPr>
          <w:p>
            <w:pPr>
              <w:keepNext/>
              <w:spacing w:after="0"/>
              <w:jc w:val="center"/>
            </w:pPr>
            <w:r/>
            <w:r>
              <w:rPr>
                <w:rFonts w:ascii="Times New Roman" w:hAnsi="Times New Roman"/>
                <w:b w:val="0"/>
                <w:i w:val="0"/>
                <w:sz w:val="14"/>
              </w:rPr>
              <w:t>0.12</w:t>
            </w:r>
          </w:p>
        </w:tc>
        <w:tc>
          <w:tcPr>
            <w:tcW w:type="dxa" w:w="720"/>
          </w:tcPr>
          <w:p>
            <w:pPr>
              <w:keepNext/>
              <w:spacing w:after="0"/>
              <w:jc w:val="center"/>
            </w:pPr>
            <w:r/>
            <w:r>
              <w:rPr>
                <w:rFonts w:ascii="Times New Roman" w:hAnsi="Times New Roman"/>
                <w:b w:val="0"/>
                <w:i w:val="0"/>
                <w:sz w:val="14"/>
              </w:rPr>
              <w:t>×4.9</w:t>
            </w:r>
          </w:p>
        </w:tc>
        <w:tc>
          <w:tcPr>
            <w:tcW w:type="dxa" w:w="619"/>
          </w:tcPr>
          <w:p>
            <w:pPr>
              <w:keepNext/>
              <w:spacing w:after="0"/>
              <w:jc w:val="center"/>
            </w:pPr>
            <w:r/>
            <w:r>
              <w:rPr>
                <w:rFonts w:ascii="Times New Roman" w:hAnsi="Times New Roman"/>
                <w:b w:val="0"/>
                <w:i w:val="0"/>
                <w:sz w:val="14"/>
              </w:rPr>
              <w:t>0.17</w:t>
            </w:r>
          </w:p>
        </w:tc>
      </w:tr>
      <w:tr>
        <w:trPr>
          <w:cantSplit/>
        </w:trPr>
        <w:tc>
          <w:tcPr>
            <w:tcW w:type="dxa" w:w="979"/>
          </w:tcPr>
          <w:p>
            <w:pPr>
              <w:keepNext/>
              <w:spacing w:after="0"/>
              <w:jc w:val="left"/>
            </w:pPr>
            <w:r/>
            <w:r>
              <w:rPr>
                <w:rFonts w:ascii="Times New Roman" w:hAnsi="Times New Roman"/>
                <w:b w:val="0"/>
                <w:i w:val="0"/>
                <w:sz w:val="14"/>
              </w:rPr>
              <w:t>Ridge</w:t>
            </w:r>
          </w:p>
        </w:tc>
        <w:tc>
          <w:tcPr>
            <w:tcW w:type="dxa" w:w="720"/>
          </w:tcPr>
          <w:p>
            <w:pPr>
              <w:keepNext/>
              <w:spacing w:after="0"/>
              <w:jc w:val="center"/>
            </w:pPr>
            <w:r/>
            <w:r>
              <w:rPr>
                <w:rFonts w:ascii="Times New Roman" w:hAnsi="Times New Roman"/>
                <w:b w:val="0"/>
                <w:i w:val="0"/>
                <w:sz w:val="14"/>
              </w:rPr>
              <w:t>physics</w:t>
            </w:r>
          </w:p>
        </w:tc>
        <w:tc>
          <w:tcPr>
            <w:tcW w:type="dxa" w:w="605"/>
          </w:tcPr>
          <w:p>
            <w:pPr>
              <w:keepNext/>
              <w:spacing w:after="0"/>
              <w:jc w:val="center"/>
            </w:pPr>
            <w:r/>
            <w:r>
              <w:rPr>
                <w:rFonts w:ascii="Times New Roman" w:hAnsi="Times New Roman"/>
                <w:b w:val="0"/>
                <w:i w:val="0"/>
                <w:sz w:val="14"/>
              </w:rPr>
              <w:t>0.58</w:t>
            </w:r>
          </w:p>
        </w:tc>
        <w:tc>
          <w:tcPr>
            <w:tcW w:type="dxa" w:w="648"/>
          </w:tcPr>
          <w:p>
            <w:pPr>
              <w:keepNext/>
              <w:spacing w:after="0"/>
              <w:jc w:val="center"/>
            </w:pPr>
            <w:r/>
            <w:r>
              <w:rPr>
                <w:rFonts w:ascii="Times New Roman" w:hAnsi="Times New Roman"/>
                <w:b w:val="0"/>
                <w:i w:val="0"/>
                <w:sz w:val="14"/>
              </w:rPr>
              <w:t>×2.8</w:t>
            </w:r>
          </w:p>
        </w:tc>
        <w:tc>
          <w:tcPr>
            <w:tcW w:type="dxa" w:w="677"/>
          </w:tcPr>
          <w:p>
            <w:pPr>
              <w:keepNext/>
              <w:spacing w:after="0"/>
              <w:jc w:val="center"/>
            </w:pPr>
            <w:r/>
            <w:r>
              <w:rPr>
                <w:rFonts w:ascii="Times New Roman" w:hAnsi="Times New Roman"/>
                <w:b w:val="0"/>
                <w:i w:val="0"/>
                <w:sz w:val="14"/>
              </w:rPr>
              <w:t>−0.02</w:t>
            </w:r>
          </w:p>
        </w:tc>
        <w:tc>
          <w:tcPr>
            <w:tcW w:type="dxa" w:w="720"/>
          </w:tcPr>
          <w:p>
            <w:pPr>
              <w:keepNext/>
              <w:spacing w:after="0"/>
              <w:jc w:val="center"/>
            </w:pPr>
            <w:r/>
            <w:r>
              <w:rPr>
                <w:rFonts w:ascii="Times New Roman" w:hAnsi="Times New Roman"/>
                <w:b w:val="0"/>
                <w:i w:val="0"/>
                <w:sz w:val="14"/>
              </w:rPr>
              <w:t>×4.9</w:t>
            </w:r>
          </w:p>
        </w:tc>
        <w:tc>
          <w:tcPr>
            <w:tcW w:type="dxa" w:w="619"/>
          </w:tcPr>
          <w:p>
            <w:pPr>
              <w:keepNext/>
              <w:spacing w:after="0"/>
              <w:jc w:val="center"/>
            </w:pPr>
            <w:r/>
            <w:r>
              <w:rPr>
                <w:rFonts w:ascii="Times New Roman" w:hAnsi="Times New Roman"/>
                <w:b w:val="0"/>
                <w:i w:val="0"/>
                <w:sz w:val="14"/>
              </w:rPr>
              <w:t>0.37</w:t>
            </w:r>
          </w:p>
        </w:tc>
      </w:tr>
      <w:tr>
        <w:trPr>
          <w:cantSplit/>
        </w:trPr>
        <w:tc>
          <w:tcPr>
            <w:tcW w:type="dxa" w:w="979"/>
          </w:tcPr>
          <w:p>
            <w:pPr>
              <w:keepNext/>
              <w:spacing w:after="0"/>
              <w:jc w:val="left"/>
            </w:pPr>
            <w:r/>
            <w:r>
              <w:rPr>
                <w:rFonts w:ascii="Times New Roman" w:hAnsi="Times New Roman"/>
                <w:b w:val="0"/>
                <w:i w:val="0"/>
                <w:sz w:val="14"/>
              </w:rPr>
              <w:t>RF</w:t>
            </w:r>
          </w:p>
        </w:tc>
        <w:tc>
          <w:tcPr>
            <w:tcW w:type="dxa" w:w="720"/>
          </w:tcPr>
          <w:p>
            <w:pPr>
              <w:keepNext/>
              <w:spacing w:after="0"/>
              <w:jc w:val="center"/>
            </w:pPr>
            <w:r/>
            <w:r>
              <w:rPr>
                <w:rFonts w:ascii="Times New Roman" w:hAnsi="Times New Roman"/>
                <w:b w:val="0"/>
                <w:i w:val="0"/>
                <w:sz w:val="14"/>
              </w:rPr>
              <w:t>base</w:t>
            </w:r>
          </w:p>
        </w:tc>
        <w:tc>
          <w:tcPr>
            <w:tcW w:type="dxa" w:w="605"/>
          </w:tcPr>
          <w:p>
            <w:pPr>
              <w:keepNext/>
              <w:spacing w:after="0"/>
              <w:jc w:val="center"/>
            </w:pPr>
            <w:r/>
            <w:r>
              <w:rPr>
                <w:rFonts w:ascii="Times New Roman" w:hAnsi="Times New Roman"/>
                <w:b w:val="0"/>
                <w:i w:val="0"/>
                <w:sz w:val="14"/>
              </w:rPr>
              <w:t>0.56</w:t>
            </w:r>
          </w:p>
        </w:tc>
        <w:tc>
          <w:tcPr>
            <w:tcW w:type="dxa" w:w="648"/>
          </w:tcPr>
          <w:p>
            <w:pPr>
              <w:keepNext/>
              <w:spacing w:after="0"/>
              <w:jc w:val="center"/>
            </w:pPr>
            <w:r/>
            <w:r>
              <w:rPr>
                <w:rFonts w:ascii="Times New Roman" w:hAnsi="Times New Roman"/>
                <w:b w:val="0"/>
                <w:i w:val="0"/>
                <w:sz w:val="14"/>
              </w:rPr>
              <w:t>×2.7</w:t>
            </w:r>
          </w:p>
        </w:tc>
        <w:tc>
          <w:tcPr>
            <w:tcW w:type="dxa" w:w="677"/>
          </w:tcPr>
          <w:p>
            <w:pPr>
              <w:keepNext/>
              <w:spacing w:after="0"/>
              <w:jc w:val="center"/>
            </w:pPr>
            <w:r/>
            <w:r>
              <w:rPr>
                <w:rFonts w:ascii="Times New Roman" w:hAnsi="Times New Roman"/>
                <w:b w:val="0"/>
                <w:i w:val="0"/>
                <w:sz w:val="14"/>
              </w:rPr>
              <w:t>−0.27</w:t>
            </w:r>
          </w:p>
        </w:tc>
        <w:tc>
          <w:tcPr>
            <w:tcW w:type="dxa" w:w="720"/>
          </w:tcPr>
          <w:p>
            <w:pPr>
              <w:keepNext/>
              <w:spacing w:after="0"/>
              <w:jc w:val="center"/>
            </w:pPr>
            <w:r/>
            <w:r>
              <w:rPr>
                <w:rFonts w:ascii="Times New Roman" w:hAnsi="Times New Roman"/>
                <w:b w:val="0"/>
                <w:i w:val="0"/>
                <w:sz w:val="14"/>
              </w:rPr>
              <w:t>×6.5</w:t>
            </w:r>
          </w:p>
        </w:tc>
        <w:tc>
          <w:tcPr>
            <w:tcW w:type="dxa" w:w="619"/>
          </w:tcPr>
          <w:p>
            <w:pPr>
              <w:keepNext/>
              <w:spacing w:after="0"/>
              <w:jc w:val="center"/>
            </w:pPr>
            <w:r/>
            <w:r>
              <w:rPr>
                <w:rFonts w:ascii="Times New Roman" w:hAnsi="Times New Roman"/>
                <w:b w:val="0"/>
                <w:i w:val="0"/>
                <w:sz w:val="14"/>
              </w:rPr>
              <w:t>0.02</w:t>
            </w:r>
          </w:p>
        </w:tc>
      </w:tr>
      <w:tr>
        <w:trPr>
          <w:cantSplit/>
        </w:trPr>
        <w:tc>
          <w:tcPr>
            <w:tcW w:type="dxa" w:w="979"/>
          </w:tcPr>
          <w:p>
            <w:pPr>
              <w:keepNext/>
              <w:spacing w:after="0"/>
              <w:jc w:val="left"/>
            </w:pPr>
            <w:r/>
            <w:r>
              <w:rPr>
                <w:rFonts w:ascii="Times New Roman" w:hAnsi="Times New Roman"/>
                <w:b w:val="0"/>
                <w:i w:val="0"/>
                <w:sz w:val="14"/>
              </w:rPr>
              <w:t>RF</w:t>
            </w:r>
          </w:p>
        </w:tc>
        <w:tc>
          <w:tcPr>
            <w:tcW w:type="dxa" w:w="720"/>
          </w:tcPr>
          <w:p>
            <w:pPr>
              <w:keepNext/>
              <w:spacing w:after="0"/>
              <w:jc w:val="center"/>
            </w:pPr>
            <w:r/>
            <w:r>
              <w:rPr>
                <w:rFonts w:ascii="Times New Roman" w:hAnsi="Times New Roman"/>
                <w:b w:val="0"/>
                <w:i w:val="0"/>
                <w:sz w:val="14"/>
              </w:rPr>
              <w:t>physics</w:t>
            </w:r>
          </w:p>
        </w:tc>
        <w:tc>
          <w:tcPr>
            <w:tcW w:type="dxa" w:w="605"/>
          </w:tcPr>
          <w:p>
            <w:pPr>
              <w:keepNext/>
              <w:spacing w:after="0"/>
              <w:jc w:val="center"/>
            </w:pPr>
            <w:r/>
            <w:r>
              <w:rPr>
                <w:rFonts w:ascii="Times New Roman" w:hAnsi="Times New Roman"/>
                <w:b w:val="0"/>
                <w:i w:val="0"/>
                <w:sz w:val="14"/>
              </w:rPr>
              <w:t>0.61</w:t>
            </w:r>
          </w:p>
        </w:tc>
        <w:tc>
          <w:tcPr>
            <w:tcW w:type="dxa" w:w="648"/>
          </w:tcPr>
          <w:p>
            <w:pPr>
              <w:keepNext/>
              <w:spacing w:after="0"/>
              <w:jc w:val="center"/>
            </w:pPr>
            <w:r/>
            <w:r>
              <w:rPr>
                <w:rFonts w:ascii="Times New Roman" w:hAnsi="Times New Roman"/>
                <w:b w:val="0"/>
                <w:i w:val="0"/>
                <w:sz w:val="14"/>
              </w:rPr>
              <w:t>×2.4</w:t>
            </w:r>
          </w:p>
        </w:tc>
        <w:tc>
          <w:tcPr>
            <w:tcW w:type="dxa" w:w="677"/>
          </w:tcPr>
          <w:p>
            <w:pPr>
              <w:keepNext/>
              <w:spacing w:after="0"/>
              <w:jc w:val="center"/>
            </w:pPr>
            <w:r/>
            <w:r>
              <w:rPr>
                <w:rFonts w:ascii="Times New Roman" w:hAnsi="Times New Roman"/>
                <w:b w:val="0"/>
                <w:i w:val="0"/>
                <w:sz w:val="14"/>
              </w:rPr>
              <w:t>−0.25</w:t>
            </w:r>
          </w:p>
        </w:tc>
        <w:tc>
          <w:tcPr>
            <w:tcW w:type="dxa" w:w="720"/>
          </w:tcPr>
          <w:p>
            <w:pPr>
              <w:keepNext/>
              <w:spacing w:after="0"/>
              <w:jc w:val="center"/>
            </w:pPr>
            <w:r/>
            <w:r>
              <w:rPr>
                <w:rFonts w:ascii="Times New Roman" w:hAnsi="Times New Roman"/>
                <w:b w:val="0"/>
                <w:i w:val="0"/>
                <w:sz w:val="14"/>
              </w:rPr>
              <w:t>×6.6</w:t>
            </w:r>
          </w:p>
        </w:tc>
        <w:tc>
          <w:tcPr>
            <w:tcW w:type="dxa" w:w="619"/>
          </w:tcPr>
          <w:p>
            <w:pPr>
              <w:keepNext/>
              <w:spacing w:after="0"/>
              <w:jc w:val="center"/>
            </w:pPr>
            <w:r/>
            <w:r>
              <w:rPr>
                <w:rFonts w:ascii="Times New Roman" w:hAnsi="Times New Roman"/>
                <w:b w:val="0"/>
                <w:i w:val="0"/>
                <w:sz w:val="14"/>
              </w:rPr>
              <w:t>0.03</w:t>
            </w:r>
          </w:p>
        </w:tc>
      </w:tr>
      <w:tr>
        <w:trPr>
          <w:cantSplit/>
        </w:trPr>
        <w:tc>
          <w:tcPr>
            <w:tcW w:type="dxa" w:w="979"/>
          </w:tcPr>
          <w:p>
            <w:pPr>
              <w:keepNext/>
              <w:spacing w:after="0"/>
              <w:jc w:val="left"/>
            </w:pPr>
            <w:r/>
            <w:r>
              <w:rPr>
                <w:rFonts w:ascii="Times New Roman" w:hAnsi="Times New Roman"/>
                <w:b w:val="0"/>
                <w:i w:val="0"/>
                <w:sz w:val="14"/>
              </w:rPr>
              <w:t>XGBoost</w:t>
            </w:r>
          </w:p>
        </w:tc>
        <w:tc>
          <w:tcPr>
            <w:tcW w:type="dxa" w:w="720"/>
          </w:tcPr>
          <w:p>
            <w:pPr>
              <w:keepNext/>
              <w:spacing w:after="0"/>
              <w:jc w:val="center"/>
            </w:pPr>
            <w:r/>
            <w:r>
              <w:rPr>
                <w:rFonts w:ascii="Times New Roman" w:hAnsi="Times New Roman"/>
                <w:b w:val="0"/>
                <w:i w:val="0"/>
                <w:sz w:val="14"/>
              </w:rPr>
              <w:t>base</w:t>
            </w:r>
          </w:p>
        </w:tc>
        <w:tc>
          <w:tcPr>
            <w:tcW w:type="dxa" w:w="605"/>
          </w:tcPr>
          <w:p>
            <w:pPr>
              <w:keepNext/>
              <w:spacing w:after="0"/>
              <w:jc w:val="center"/>
            </w:pPr>
            <w:r/>
            <w:r>
              <w:rPr>
                <w:rFonts w:ascii="Times New Roman" w:hAnsi="Times New Roman"/>
                <w:b w:val="0"/>
                <w:i w:val="0"/>
                <w:sz w:val="14"/>
              </w:rPr>
              <w:t>0.55</w:t>
            </w:r>
          </w:p>
        </w:tc>
        <w:tc>
          <w:tcPr>
            <w:tcW w:type="dxa" w:w="648"/>
          </w:tcPr>
          <w:p>
            <w:pPr>
              <w:keepNext/>
              <w:spacing w:after="0"/>
              <w:jc w:val="center"/>
            </w:pPr>
            <w:r/>
            <w:r>
              <w:rPr>
                <w:rFonts w:ascii="Times New Roman" w:hAnsi="Times New Roman"/>
                <w:b w:val="0"/>
                <w:i w:val="0"/>
                <w:sz w:val="14"/>
              </w:rPr>
              <w:t>×2.8</w:t>
            </w:r>
          </w:p>
        </w:tc>
        <w:tc>
          <w:tcPr>
            <w:tcW w:type="dxa" w:w="677"/>
          </w:tcPr>
          <w:p>
            <w:pPr>
              <w:keepNext/>
              <w:spacing w:after="0"/>
              <w:jc w:val="center"/>
            </w:pPr>
            <w:r/>
            <w:r>
              <w:rPr>
                <w:rFonts w:ascii="Times New Roman" w:hAnsi="Times New Roman"/>
                <w:b w:val="0"/>
                <w:i w:val="0"/>
                <w:sz w:val="14"/>
              </w:rPr>
              <w:t>−0.27</w:t>
            </w:r>
          </w:p>
        </w:tc>
        <w:tc>
          <w:tcPr>
            <w:tcW w:type="dxa" w:w="720"/>
          </w:tcPr>
          <w:p>
            <w:pPr>
              <w:keepNext/>
              <w:spacing w:after="0"/>
              <w:jc w:val="center"/>
            </w:pPr>
            <w:r/>
            <w:r>
              <w:rPr>
                <w:rFonts w:ascii="Times New Roman" w:hAnsi="Times New Roman"/>
                <w:b w:val="0"/>
                <w:i w:val="0"/>
                <w:sz w:val="14"/>
              </w:rPr>
              <w:t>×6.6</w:t>
            </w:r>
          </w:p>
        </w:tc>
        <w:tc>
          <w:tcPr>
            <w:tcW w:type="dxa" w:w="619"/>
          </w:tcPr>
          <w:p>
            <w:pPr>
              <w:keepNext/>
              <w:spacing w:after="0"/>
              <w:jc w:val="center"/>
            </w:pPr>
            <w:r/>
            <w:r>
              <w:rPr>
                <w:rFonts w:ascii="Times New Roman" w:hAnsi="Times New Roman"/>
                <w:b w:val="0"/>
                <w:i w:val="0"/>
                <w:sz w:val="14"/>
              </w:rPr>
              <w:t>−0.17</w:t>
            </w:r>
          </w:p>
        </w:tc>
      </w:tr>
      <w:tr>
        <w:trPr>
          <w:cantSplit/>
        </w:trPr>
        <w:tc>
          <w:tcPr>
            <w:tcW w:type="dxa" w:w="979"/>
          </w:tcPr>
          <w:p>
            <w:pPr>
              <w:keepNext/>
              <w:spacing w:after="0"/>
              <w:jc w:val="left"/>
            </w:pPr>
            <w:r/>
            <w:r>
              <w:rPr>
                <w:rFonts w:ascii="Times New Roman" w:hAnsi="Times New Roman"/>
                <w:b w:val="0"/>
                <w:i w:val="0"/>
                <w:sz w:val="14"/>
              </w:rPr>
              <w:t>XGBoost</w:t>
            </w:r>
          </w:p>
        </w:tc>
        <w:tc>
          <w:tcPr>
            <w:tcW w:type="dxa" w:w="720"/>
          </w:tcPr>
          <w:p>
            <w:pPr>
              <w:keepNext/>
              <w:spacing w:after="0"/>
              <w:jc w:val="center"/>
            </w:pPr>
            <w:r/>
            <w:r>
              <w:rPr>
                <w:rFonts w:ascii="Times New Roman" w:hAnsi="Times New Roman"/>
                <w:b w:val="0"/>
                <w:i w:val="0"/>
                <w:sz w:val="14"/>
              </w:rPr>
              <w:t>physics</w:t>
            </w:r>
          </w:p>
        </w:tc>
        <w:tc>
          <w:tcPr>
            <w:tcW w:type="dxa" w:w="605"/>
          </w:tcPr>
          <w:p>
            <w:pPr>
              <w:keepNext/>
              <w:spacing w:after="0"/>
              <w:jc w:val="center"/>
            </w:pPr>
            <w:r/>
            <w:r>
              <w:rPr>
                <w:rFonts w:ascii="Times New Roman" w:hAnsi="Times New Roman"/>
                <w:b w:val="0"/>
                <w:i w:val="0"/>
                <w:sz w:val="14"/>
              </w:rPr>
              <w:t>0.61</w:t>
            </w:r>
          </w:p>
        </w:tc>
        <w:tc>
          <w:tcPr>
            <w:tcW w:type="dxa" w:w="648"/>
          </w:tcPr>
          <w:p>
            <w:pPr>
              <w:keepNext/>
              <w:spacing w:after="0"/>
              <w:jc w:val="center"/>
            </w:pPr>
            <w:r/>
            <w:r>
              <w:rPr>
                <w:rFonts w:ascii="Times New Roman" w:hAnsi="Times New Roman"/>
                <w:b w:val="0"/>
                <w:i w:val="0"/>
                <w:sz w:val="14"/>
              </w:rPr>
              <w:t>×2.5</w:t>
            </w:r>
          </w:p>
        </w:tc>
        <w:tc>
          <w:tcPr>
            <w:tcW w:type="dxa" w:w="677"/>
          </w:tcPr>
          <w:p>
            <w:pPr>
              <w:keepNext/>
              <w:spacing w:after="0"/>
              <w:jc w:val="center"/>
            </w:pPr>
            <w:r/>
            <w:r>
              <w:rPr>
                <w:rFonts w:ascii="Times New Roman" w:hAnsi="Times New Roman"/>
                <w:b w:val="0"/>
                <w:i w:val="0"/>
                <w:sz w:val="14"/>
              </w:rPr>
              <w:t>−0.28</w:t>
            </w:r>
          </w:p>
        </w:tc>
        <w:tc>
          <w:tcPr>
            <w:tcW w:type="dxa" w:w="720"/>
          </w:tcPr>
          <w:p>
            <w:pPr>
              <w:keepNext/>
              <w:spacing w:after="0"/>
              <w:jc w:val="center"/>
            </w:pPr>
            <w:r/>
            <w:r>
              <w:rPr>
                <w:rFonts w:ascii="Times New Roman" w:hAnsi="Times New Roman"/>
                <w:b w:val="0"/>
                <w:i w:val="0"/>
                <w:sz w:val="14"/>
              </w:rPr>
              <w:t>×6.5</w:t>
            </w:r>
          </w:p>
        </w:tc>
        <w:tc>
          <w:tcPr>
            <w:tcW w:type="dxa" w:w="619"/>
          </w:tcPr>
          <w:p>
            <w:pPr>
              <w:keepNext/>
              <w:spacing w:after="0"/>
              <w:jc w:val="center"/>
            </w:pPr>
            <w:r/>
            <w:r>
              <w:rPr>
                <w:rFonts w:ascii="Times New Roman" w:hAnsi="Times New Roman"/>
                <w:b w:val="0"/>
                <w:i w:val="0"/>
                <w:sz w:val="14"/>
              </w:rPr>
              <w:t>0.17</w:t>
            </w:r>
          </w:p>
        </w:tc>
      </w:tr>
      <w:tr>
        <w:trPr>
          <w:cantSplit/>
        </w:trPr>
        <w:tc>
          <w:tcPr>
            <w:tcW w:type="dxa" w:w="979"/>
          </w:tcPr>
          <w:p>
            <w:pPr>
              <w:keepNext/>
              <w:spacing w:after="0"/>
              <w:jc w:val="left"/>
            </w:pPr>
            <w:r/>
            <w:r>
              <w:rPr>
                <w:rFonts w:ascii="Times New Roman" w:hAnsi="Times New Roman"/>
                <w:b w:val="0"/>
                <w:i w:val="0"/>
                <w:sz w:val="14"/>
              </w:rPr>
              <w:t>ANN</w:t>
            </w:r>
          </w:p>
        </w:tc>
        <w:tc>
          <w:tcPr>
            <w:tcW w:type="dxa" w:w="720"/>
          </w:tcPr>
          <w:p>
            <w:pPr>
              <w:keepNext/>
              <w:spacing w:after="0"/>
              <w:jc w:val="center"/>
            </w:pPr>
            <w:r/>
            <w:r>
              <w:rPr>
                <w:rFonts w:ascii="Times New Roman" w:hAnsi="Times New Roman"/>
                <w:b w:val="0"/>
                <w:i w:val="0"/>
                <w:sz w:val="14"/>
              </w:rPr>
              <w:t>base</w:t>
            </w:r>
          </w:p>
        </w:tc>
        <w:tc>
          <w:tcPr>
            <w:tcW w:type="dxa" w:w="605"/>
          </w:tcPr>
          <w:p>
            <w:pPr>
              <w:keepNext/>
              <w:spacing w:after="0"/>
              <w:jc w:val="center"/>
            </w:pPr>
            <w:r/>
            <w:r>
              <w:rPr>
                <w:rFonts w:ascii="Times New Roman" w:hAnsi="Times New Roman"/>
                <w:b w:val="0"/>
                <w:i w:val="0"/>
                <w:sz w:val="14"/>
              </w:rPr>
              <w:t>0.49</w:t>
            </w:r>
          </w:p>
        </w:tc>
        <w:tc>
          <w:tcPr>
            <w:tcW w:type="dxa" w:w="648"/>
          </w:tcPr>
          <w:p>
            <w:pPr>
              <w:keepNext/>
              <w:spacing w:after="0"/>
              <w:jc w:val="center"/>
            </w:pPr>
            <w:r/>
            <w:r>
              <w:rPr>
                <w:rFonts w:ascii="Times New Roman" w:hAnsi="Times New Roman"/>
                <w:b w:val="0"/>
                <w:i w:val="0"/>
                <w:sz w:val="14"/>
              </w:rPr>
              <w:t>×3.0</w:t>
            </w:r>
          </w:p>
        </w:tc>
        <w:tc>
          <w:tcPr>
            <w:tcW w:type="dxa" w:w="677"/>
          </w:tcPr>
          <w:p>
            <w:pPr>
              <w:keepNext/>
              <w:spacing w:after="0"/>
              <w:jc w:val="center"/>
            </w:pPr>
            <w:r/>
            <w:r>
              <w:rPr>
                <w:rFonts w:ascii="Times New Roman" w:hAnsi="Times New Roman"/>
                <w:b w:val="0"/>
                <w:i w:val="0"/>
                <w:sz w:val="14"/>
              </w:rPr>
              <w:t>−0.09</w:t>
            </w:r>
          </w:p>
        </w:tc>
        <w:tc>
          <w:tcPr>
            <w:tcW w:type="dxa" w:w="720"/>
          </w:tcPr>
          <w:p>
            <w:pPr>
              <w:keepNext/>
              <w:spacing w:after="0"/>
              <w:jc w:val="center"/>
            </w:pPr>
            <w:r/>
            <w:r>
              <w:rPr>
                <w:rFonts w:ascii="Times New Roman" w:hAnsi="Times New Roman"/>
                <w:b w:val="0"/>
                <w:i w:val="0"/>
                <w:sz w:val="14"/>
              </w:rPr>
              <w:t>×5.5</w:t>
            </w:r>
          </w:p>
        </w:tc>
        <w:tc>
          <w:tcPr>
            <w:tcW w:type="dxa" w:w="619"/>
          </w:tcPr>
          <w:p>
            <w:pPr>
              <w:keepNext/>
              <w:spacing w:after="0"/>
              <w:jc w:val="center"/>
            </w:pPr>
            <w:r/>
            <w:r>
              <w:rPr>
                <w:rFonts w:ascii="Times New Roman" w:hAnsi="Times New Roman"/>
                <w:b w:val="0"/>
                <w:i w:val="0"/>
                <w:sz w:val="14"/>
              </w:rPr>
              <w:t>−0.10</w:t>
            </w:r>
          </w:p>
        </w:tc>
      </w:tr>
      <w:tr>
        <w:trPr>
          <w:cantSplit/>
        </w:trPr>
        <w:tc>
          <w:tcPr>
            <w:tcW w:type="dxa" w:w="979"/>
          </w:tcPr>
          <w:p>
            <w:pPr>
              <w:keepNext/>
              <w:spacing w:after="0"/>
              <w:jc w:val="left"/>
            </w:pPr>
            <w:r/>
            <w:r>
              <w:rPr>
                <w:rFonts w:ascii="Times New Roman" w:hAnsi="Times New Roman"/>
                <w:b w:val="0"/>
                <w:i w:val="0"/>
                <w:sz w:val="14"/>
              </w:rPr>
              <w:t>ANN</w:t>
            </w:r>
          </w:p>
        </w:tc>
        <w:tc>
          <w:tcPr>
            <w:tcW w:type="dxa" w:w="720"/>
          </w:tcPr>
          <w:p>
            <w:pPr>
              <w:keepNext/>
              <w:spacing w:after="0"/>
              <w:jc w:val="center"/>
            </w:pPr>
            <w:r/>
            <w:r>
              <w:rPr>
                <w:rFonts w:ascii="Times New Roman" w:hAnsi="Times New Roman"/>
                <w:b w:val="0"/>
                <w:i w:val="0"/>
                <w:sz w:val="14"/>
              </w:rPr>
              <w:t>physics</w:t>
            </w:r>
          </w:p>
        </w:tc>
        <w:tc>
          <w:tcPr>
            <w:tcW w:type="dxa" w:w="605"/>
          </w:tcPr>
          <w:p>
            <w:pPr>
              <w:keepNext/>
              <w:spacing w:after="0"/>
              <w:jc w:val="center"/>
            </w:pPr>
            <w:r/>
            <w:r>
              <w:rPr>
                <w:rFonts w:ascii="Times New Roman" w:hAnsi="Times New Roman"/>
                <w:b w:val="0"/>
                <w:i w:val="0"/>
                <w:sz w:val="14"/>
              </w:rPr>
              <w:t>0.58</w:t>
            </w:r>
          </w:p>
        </w:tc>
        <w:tc>
          <w:tcPr>
            <w:tcW w:type="dxa" w:w="648"/>
          </w:tcPr>
          <w:p>
            <w:pPr>
              <w:keepNext/>
              <w:spacing w:after="0"/>
              <w:jc w:val="center"/>
            </w:pPr>
            <w:r/>
            <w:r>
              <w:rPr>
                <w:rFonts w:ascii="Times New Roman" w:hAnsi="Times New Roman"/>
                <w:b w:val="0"/>
                <w:i w:val="0"/>
                <w:sz w:val="14"/>
              </w:rPr>
              <w:t>×2.4</w:t>
            </w:r>
          </w:p>
        </w:tc>
        <w:tc>
          <w:tcPr>
            <w:tcW w:type="dxa" w:w="677"/>
          </w:tcPr>
          <w:p>
            <w:pPr>
              <w:keepNext/>
              <w:spacing w:after="0"/>
              <w:jc w:val="center"/>
            </w:pPr>
            <w:r/>
            <w:r>
              <w:rPr>
                <w:rFonts w:ascii="Times New Roman" w:hAnsi="Times New Roman"/>
                <w:b w:val="0"/>
                <w:i w:val="0"/>
                <w:sz w:val="14"/>
              </w:rPr>
              <w:t>−0.41</w:t>
            </w:r>
          </w:p>
        </w:tc>
        <w:tc>
          <w:tcPr>
            <w:tcW w:type="dxa" w:w="720"/>
          </w:tcPr>
          <w:p>
            <w:pPr>
              <w:keepNext/>
              <w:spacing w:after="0"/>
              <w:jc w:val="center"/>
            </w:pPr>
            <w:r/>
            <w:r>
              <w:rPr>
                <w:rFonts w:ascii="Times New Roman" w:hAnsi="Times New Roman"/>
                <w:b w:val="0"/>
                <w:i w:val="0"/>
                <w:sz w:val="14"/>
              </w:rPr>
              <w:t>×6.8</w:t>
            </w:r>
          </w:p>
        </w:tc>
        <w:tc>
          <w:tcPr>
            <w:tcW w:type="dxa" w:w="619"/>
          </w:tcPr>
          <w:p>
            <w:pPr>
              <w:keepNext/>
              <w:spacing w:after="0"/>
              <w:jc w:val="center"/>
            </w:pPr>
            <w:r/>
            <w:r>
              <w:rPr>
                <w:rFonts w:ascii="Times New Roman" w:hAnsi="Times New Roman"/>
                <w:b w:val="0"/>
                <w:i w:val="0"/>
                <w:sz w:val="14"/>
              </w:rPr>
              <w:t>0.04</w:t>
            </w:r>
          </w:p>
        </w:tc>
      </w:tr>
      <w:tr>
        <w:trPr>
          <w:cantSplit/>
        </w:trPr>
        <w:tc>
          <w:tcPr>
            <w:tcW w:type="dxa" w:w="979"/>
          </w:tcPr>
          <w:p>
            <w:pPr>
              <w:keepNext/>
              <w:spacing w:after="0"/>
              <w:jc w:val="left"/>
            </w:pPr>
            <w:r/>
            <w:r>
              <w:rPr>
                <w:rFonts w:ascii="Times New Roman" w:hAnsi="Times New Roman"/>
                <w:b w:val="0"/>
                <w:i w:val="0"/>
                <w:sz w:val="14"/>
              </w:rPr>
              <w:t>SVR</w:t>
            </w:r>
          </w:p>
        </w:tc>
        <w:tc>
          <w:tcPr>
            <w:tcW w:type="dxa" w:w="720"/>
          </w:tcPr>
          <w:p>
            <w:pPr>
              <w:keepNext/>
              <w:spacing w:after="0"/>
              <w:jc w:val="center"/>
            </w:pPr>
            <w:r/>
            <w:r>
              <w:rPr>
                <w:rFonts w:ascii="Times New Roman" w:hAnsi="Times New Roman"/>
                <w:b w:val="0"/>
                <w:i w:val="0"/>
                <w:sz w:val="14"/>
              </w:rPr>
              <w:t>base</w:t>
            </w:r>
          </w:p>
        </w:tc>
        <w:tc>
          <w:tcPr>
            <w:tcW w:type="dxa" w:w="605"/>
          </w:tcPr>
          <w:p>
            <w:pPr>
              <w:keepNext/>
              <w:spacing w:after="0"/>
              <w:jc w:val="center"/>
            </w:pPr>
            <w:r/>
            <w:r>
              <w:rPr>
                <w:rFonts w:ascii="Times New Roman" w:hAnsi="Times New Roman"/>
                <w:b w:val="0"/>
                <w:i w:val="0"/>
                <w:sz w:val="14"/>
              </w:rPr>
              <w:t>0.49</w:t>
            </w:r>
          </w:p>
        </w:tc>
        <w:tc>
          <w:tcPr>
            <w:tcW w:type="dxa" w:w="648"/>
          </w:tcPr>
          <w:p>
            <w:pPr>
              <w:keepNext/>
              <w:spacing w:after="0"/>
              <w:jc w:val="center"/>
            </w:pPr>
            <w:r/>
            <w:r>
              <w:rPr>
                <w:rFonts w:ascii="Times New Roman" w:hAnsi="Times New Roman"/>
                <w:b w:val="0"/>
                <w:i w:val="0"/>
                <w:sz w:val="14"/>
              </w:rPr>
              <w:t>×2.8</w:t>
            </w:r>
          </w:p>
        </w:tc>
        <w:tc>
          <w:tcPr>
            <w:tcW w:type="dxa" w:w="677"/>
          </w:tcPr>
          <w:p>
            <w:pPr>
              <w:keepNext/>
              <w:spacing w:after="0"/>
              <w:jc w:val="center"/>
            </w:pPr>
            <w:r/>
            <w:r>
              <w:rPr>
                <w:rFonts w:ascii="Times New Roman" w:hAnsi="Times New Roman"/>
                <w:b w:val="0"/>
                <w:i w:val="0"/>
                <w:sz w:val="14"/>
              </w:rPr>
              <w:t>−0.09</w:t>
            </w:r>
          </w:p>
        </w:tc>
        <w:tc>
          <w:tcPr>
            <w:tcW w:type="dxa" w:w="720"/>
          </w:tcPr>
          <w:p>
            <w:pPr>
              <w:keepNext/>
              <w:spacing w:after="0"/>
              <w:jc w:val="center"/>
            </w:pPr>
            <w:r/>
            <w:r>
              <w:rPr>
                <w:rFonts w:ascii="Times New Roman" w:hAnsi="Times New Roman"/>
                <w:b w:val="0"/>
                <w:i w:val="0"/>
                <w:sz w:val="14"/>
              </w:rPr>
              <w:t>×6.1</w:t>
            </w:r>
          </w:p>
        </w:tc>
        <w:tc>
          <w:tcPr>
            <w:tcW w:type="dxa" w:w="619"/>
          </w:tcPr>
          <w:p>
            <w:pPr>
              <w:keepNext/>
              <w:spacing w:after="0"/>
              <w:jc w:val="center"/>
            </w:pPr>
            <w:r/>
            <w:r>
              <w:rPr>
                <w:rFonts w:ascii="Times New Roman" w:hAnsi="Times New Roman"/>
                <w:b w:val="0"/>
                <w:i w:val="0"/>
                <w:sz w:val="14"/>
              </w:rPr>
              <w:t>0.10</w:t>
            </w:r>
          </w:p>
        </w:tc>
      </w:tr>
      <w:tr>
        <w:trPr>
          <w:cantSplit/>
        </w:trPr>
        <w:tc>
          <w:tcPr>
            <w:tcW w:type="dxa" w:w="979"/>
          </w:tcPr>
          <w:p>
            <w:pPr>
              <w:keepNext/>
              <w:spacing w:after="0"/>
              <w:jc w:val="left"/>
            </w:pPr>
            <w:r/>
            <w:r>
              <w:rPr>
                <w:rFonts w:ascii="Times New Roman" w:hAnsi="Times New Roman"/>
                <w:b w:val="0"/>
                <w:i w:val="0"/>
                <w:sz w:val="14"/>
              </w:rPr>
              <w:t>SVR</w:t>
            </w:r>
          </w:p>
        </w:tc>
        <w:tc>
          <w:tcPr>
            <w:tcW w:type="dxa" w:w="720"/>
          </w:tcPr>
          <w:p>
            <w:pPr>
              <w:keepNext/>
              <w:spacing w:after="0"/>
              <w:jc w:val="center"/>
            </w:pPr>
            <w:r/>
            <w:r>
              <w:rPr>
                <w:rFonts w:ascii="Times New Roman" w:hAnsi="Times New Roman"/>
                <w:b w:val="0"/>
                <w:i w:val="0"/>
                <w:sz w:val="14"/>
              </w:rPr>
              <w:t>physics</w:t>
            </w:r>
          </w:p>
        </w:tc>
        <w:tc>
          <w:tcPr>
            <w:tcW w:type="dxa" w:w="605"/>
          </w:tcPr>
          <w:p>
            <w:pPr>
              <w:keepNext/>
              <w:spacing w:after="0"/>
              <w:jc w:val="center"/>
            </w:pPr>
            <w:r/>
            <w:r>
              <w:rPr>
                <w:rFonts w:ascii="Times New Roman" w:hAnsi="Times New Roman"/>
                <w:b w:val="0"/>
                <w:i w:val="0"/>
                <w:sz w:val="14"/>
              </w:rPr>
              <w:t>0.59</w:t>
            </w:r>
          </w:p>
        </w:tc>
        <w:tc>
          <w:tcPr>
            <w:tcW w:type="dxa" w:w="648"/>
          </w:tcPr>
          <w:p>
            <w:pPr>
              <w:keepNext/>
              <w:spacing w:after="0"/>
              <w:jc w:val="center"/>
            </w:pPr>
            <w:r/>
            <w:r>
              <w:rPr>
                <w:rFonts w:ascii="Times New Roman" w:hAnsi="Times New Roman"/>
                <w:b w:val="0"/>
                <w:i w:val="0"/>
                <w:sz w:val="14"/>
              </w:rPr>
              <w:t>×2.3</w:t>
            </w:r>
          </w:p>
        </w:tc>
        <w:tc>
          <w:tcPr>
            <w:tcW w:type="dxa" w:w="677"/>
          </w:tcPr>
          <w:p>
            <w:pPr>
              <w:keepNext/>
              <w:spacing w:after="0"/>
              <w:jc w:val="center"/>
            </w:pPr>
            <w:r/>
            <w:r>
              <w:rPr>
                <w:rFonts w:ascii="Times New Roman" w:hAnsi="Times New Roman"/>
                <w:b w:val="0"/>
                <w:i w:val="0"/>
                <w:sz w:val="14"/>
              </w:rPr>
              <w:t>−0.24</w:t>
            </w:r>
          </w:p>
        </w:tc>
        <w:tc>
          <w:tcPr>
            <w:tcW w:type="dxa" w:w="720"/>
          </w:tcPr>
          <w:p>
            <w:pPr>
              <w:keepNext/>
              <w:spacing w:after="0"/>
              <w:jc w:val="center"/>
            </w:pPr>
            <w:r/>
            <w:r>
              <w:rPr>
                <w:rFonts w:ascii="Times New Roman" w:hAnsi="Times New Roman"/>
                <w:b w:val="0"/>
                <w:i w:val="0"/>
                <w:sz w:val="14"/>
              </w:rPr>
              <w:t>×6.5</w:t>
            </w:r>
          </w:p>
        </w:tc>
        <w:tc>
          <w:tcPr>
            <w:tcW w:type="dxa" w:w="619"/>
          </w:tcPr>
          <w:p>
            <w:pPr>
              <w:keepNext/>
              <w:spacing w:after="0"/>
              <w:jc w:val="center"/>
            </w:pPr>
            <w:r/>
            <w:r>
              <w:rPr>
                <w:rFonts w:ascii="Times New Roman" w:hAnsi="Times New Roman"/>
                <w:b w:val="0"/>
                <w:i w:val="0"/>
                <w:sz w:val="14"/>
              </w:rPr>
              <w:t>0.07</w:t>
            </w:r>
          </w:p>
        </w:tc>
      </w:tr>
      <w:tr>
        <w:trPr>
          <w:cantSplit/>
        </w:trPr>
        <w:tc>
          <w:tcPr>
            <w:tcW w:type="dxa" w:w="979"/>
          </w:tcPr>
          <w:p>
            <w:pPr>
              <w:keepNext/>
              <w:spacing w:after="0"/>
              <w:jc w:val="left"/>
            </w:pPr>
            <w:r/>
            <w:r>
              <w:rPr>
                <w:rFonts w:ascii="Times New Roman" w:hAnsi="Times New Roman"/>
                <w:b w:val="0"/>
                <w:i w:val="0"/>
                <w:sz w:val="14"/>
              </w:rPr>
              <w:t>Stacked</w:t>
            </w:r>
          </w:p>
        </w:tc>
        <w:tc>
          <w:tcPr>
            <w:tcW w:type="dxa" w:w="720"/>
          </w:tcPr>
          <w:p>
            <w:pPr>
              <w:keepNext/>
              <w:spacing w:after="0"/>
              <w:jc w:val="center"/>
            </w:pPr>
            <w:r/>
            <w:r>
              <w:rPr>
                <w:rFonts w:ascii="Times New Roman" w:hAnsi="Times New Roman"/>
                <w:b w:val="0"/>
                <w:i w:val="0"/>
                <w:sz w:val="14"/>
              </w:rPr>
              <w:t>base</w:t>
            </w:r>
          </w:p>
        </w:tc>
        <w:tc>
          <w:tcPr>
            <w:tcW w:type="dxa" w:w="605"/>
          </w:tcPr>
          <w:p>
            <w:pPr>
              <w:keepNext/>
              <w:spacing w:after="0"/>
              <w:jc w:val="center"/>
            </w:pPr>
            <w:r/>
            <w:r>
              <w:rPr>
                <w:rFonts w:ascii="Times New Roman" w:hAnsi="Times New Roman"/>
                <w:b w:val="0"/>
                <w:i w:val="0"/>
                <w:sz w:val="14"/>
              </w:rPr>
              <w:t>0.39</w:t>
            </w:r>
          </w:p>
        </w:tc>
        <w:tc>
          <w:tcPr>
            <w:tcW w:type="dxa" w:w="648"/>
          </w:tcPr>
          <w:p>
            <w:pPr>
              <w:keepNext/>
              <w:spacing w:after="0"/>
              <w:jc w:val="center"/>
            </w:pPr>
            <w:r/>
            <w:r>
              <w:rPr>
                <w:rFonts w:ascii="Times New Roman" w:hAnsi="Times New Roman"/>
                <w:b w:val="0"/>
                <w:i w:val="0"/>
                <w:sz w:val="14"/>
              </w:rPr>
              <w:t>×3.6</w:t>
            </w:r>
          </w:p>
        </w:tc>
        <w:tc>
          <w:tcPr>
            <w:tcW w:type="dxa" w:w="677"/>
          </w:tcPr>
          <w:p>
            <w:pPr>
              <w:keepNext/>
              <w:spacing w:after="0"/>
              <w:jc w:val="center"/>
            </w:pPr>
            <w:r/>
            <w:r>
              <w:rPr>
                <w:rFonts w:ascii="Times New Roman" w:hAnsi="Times New Roman"/>
                <w:b w:val="0"/>
                <w:i w:val="0"/>
                <w:sz w:val="14"/>
              </w:rPr>
              <w:t>−0.19</w:t>
            </w:r>
          </w:p>
        </w:tc>
        <w:tc>
          <w:tcPr>
            <w:tcW w:type="dxa" w:w="720"/>
          </w:tcPr>
          <w:p>
            <w:pPr>
              <w:keepNext/>
              <w:spacing w:after="0"/>
              <w:jc w:val="center"/>
            </w:pPr>
            <w:r/>
            <w:r>
              <w:rPr>
                <w:rFonts w:ascii="Times New Roman" w:hAnsi="Times New Roman"/>
                <w:b w:val="0"/>
                <w:i w:val="0"/>
                <w:sz w:val="14"/>
              </w:rPr>
              <w:t>×6.2</w:t>
            </w:r>
          </w:p>
        </w:tc>
        <w:tc>
          <w:tcPr>
            <w:tcW w:type="dxa" w:w="619"/>
          </w:tcPr>
          <w:p>
            <w:pPr>
              <w:keepNext/>
              <w:spacing w:after="0"/>
              <w:jc w:val="center"/>
            </w:pPr>
            <w:r/>
            <w:r>
              <w:rPr>
                <w:rFonts w:ascii="Times New Roman" w:hAnsi="Times New Roman"/>
                <w:b w:val="0"/>
                <w:i w:val="0"/>
                <w:sz w:val="14"/>
              </w:rPr>
              <w:t>−0.11</w:t>
            </w:r>
          </w:p>
        </w:tc>
      </w:tr>
      <w:tr>
        <w:trPr>
          <w:cantSplit/>
        </w:trPr>
        <w:tc>
          <w:tcPr>
            <w:tcW w:type="dxa" w:w="979"/>
          </w:tcPr>
          <w:p>
            <w:pPr>
              <w:keepNext/>
              <w:spacing w:after="0"/>
              <w:jc w:val="left"/>
            </w:pPr>
            <w:r/>
            <w:r>
              <w:rPr>
                <w:rFonts w:ascii="Times New Roman" w:hAnsi="Times New Roman"/>
                <w:b w:val="0"/>
                <w:i w:val="0"/>
                <w:sz w:val="14"/>
              </w:rPr>
              <w:t>Stacked</w:t>
            </w:r>
          </w:p>
        </w:tc>
        <w:tc>
          <w:tcPr>
            <w:tcW w:type="dxa" w:w="720"/>
          </w:tcPr>
          <w:p>
            <w:pPr>
              <w:keepNext/>
              <w:spacing w:after="0"/>
              <w:jc w:val="center"/>
            </w:pPr>
            <w:r/>
            <w:r>
              <w:rPr>
                <w:rFonts w:ascii="Times New Roman" w:hAnsi="Times New Roman"/>
                <w:b w:val="0"/>
                <w:i w:val="0"/>
                <w:sz w:val="14"/>
              </w:rPr>
              <w:t>physics</w:t>
            </w:r>
          </w:p>
        </w:tc>
        <w:tc>
          <w:tcPr>
            <w:tcW w:type="dxa" w:w="605"/>
          </w:tcPr>
          <w:p>
            <w:pPr>
              <w:keepNext/>
              <w:spacing w:after="0"/>
              <w:jc w:val="center"/>
            </w:pPr>
            <w:r/>
            <w:r>
              <w:rPr>
                <w:rFonts w:ascii="Times New Roman" w:hAnsi="Times New Roman"/>
                <w:b w:val="0"/>
                <w:i w:val="0"/>
                <w:sz w:val="14"/>
              </w:rPr>
              <w:t>0.47</w:t>
            </w:r>
          </w:p>
        </w:tc>
        <w:tc>
          <w:tcPr>
            <w:tcW w:type="dxa" w:w="648"/>
          </w:tcPr>
          <w:p>
            <w:pPr>
              <w:keepNext/>
              <w:spacing w:after="0"/>
              <w:jc w:val="center"/>
            </w:pPr>
            <w:r/>
            <w:r>
              <w:rPr>
                <w:rFonts w:ascii="Times New Roman" w:hAnsi="Times New Roman"/>
                <w:b w:val="0"/>
                <w:i w:val="0"/>
                <w:sz w:val="14"/>
              </w:rPr>
              <w:t>×3.1</w:t>
            </w:r>
          </w:p>
        </w:tc>
        <w:tc>
          <w:tcPr>
            <w:tcW w:type="dxa" w:w="677"/>
          </w:tcPr>
          <w:p>
            <w:pPr>
              <w:keepNext/>
              <w:spacing w:after="0"/>
              <w:jc w:val="center"/>
            </w:pPr>
            <w:r/>
            <w:r>
              <w:rPr>
                <w:rFonts w:ascii="Times New Roman" w:hAnsi="Times New Roman"/>
                <w:b w:val="0"/>
                <w:i w:val="0"/>
                <w:sz w:val="14"/>
              </w:rPr>
              <w:t>−0.26</w:t>
            </w:r>
          </w:p>
        </w:tc>
        <w:tc>
          <w:tcPr>
            <w:tcW w:type="dxa" w:w="720"/>
          </w:tcPr>
          <w:p>
            <w:pPr>
              <w:keepNext/>
              <w:spacing w:after="0"/>
              <w:jc w:val="center"/>
            </w:pPr>
            <w:r/>
            <w:r>
              <w:rPr>
                <w:rFonts w:ascii="Times New Roman" w:hAnsi="Times New Roman"/>
                <w:b w:val="0"/>
                <w:i w:val="0"/>
                <w:sz w:val="14"/>
              </w:rPr>
              <w:t>×6.7</w:t>
            </w:r>
          </w:p>
        </w:tc>
        <w:tc>
          <w:tcPr>
            <w:tcW w:type="dxa" w:w="619"/>
          </w:tcPr>
          <w:p>
            <w:pPr>
              <w:keepNext/>
              <w:spacing w:after="0"/>
              <w:jc w:val="center"/>
            </w:pPr>
            <w:r/>
            <w:r>
              <w:rPr>
                <w:rFonts w:ascii="Times New Roman" w:hAnsi="Times New Roman"/>
                <w:b w:val="0"/>
                <w:i w:val="0"/>
                <w:sz w:val="14"/>
              </w:rPr>
              <w:t>0.12</w:t>
            </w:r>
          </w:p>
        </w:tc>
      </w:tr>
    </w:tbl>
    <w:p>
      <w:pPr>
        <w:keepNext w:val="0"/>
        <w:spacing w:after="120" w:before="0"/>
        <w:jc w:val="left"/>
      </w:pPr>
      <w:r>
        <w:rPr>
          <w:rFonts w:ascii="Times New Roman" w:hAnsi="Times New Roman"/>
          <w:b w:val="0"/>
          <w:i w:val="0"/>
          <w:sz w:val="14"/>
        </w:rPr>
        <w:t>CV: random 5-fold, mean of three shuffles (s.d. of R² ≤ 0.07). Error: typical error factor 10</w:t>
      </w:r>
      <w:r>
        <w:rPr>
          <w:rFonts w:ascii="Times New Roman" w:hAnsi="Times New Roman"/>
          <w:b w:val="0"/>
          <w:i w:val="0"/>
          <w:sz w:val="14"/>
          <w:vertAlign w:val="superscript"/>
        </w:rPr>
        <w:t>MAE</w:t>
      </w:r>
      <w:r>
        <w:rPr>
          <w:rFonts w:ascii="Times New Roman" w:hAnsi="Times New Roman"/>
          <w:b w:val="0"/>
          <w:i w:val="0"/>
          <w:sz w:val="14"/>
        </w:rPr>
        <w:t>. ρ: median Spearman correlation within the held-out studies.</w:t>
      </w:r>
    </w:p>
    <w:p>
      <w:pPr>
        <w:keepNext w:val="0"/>
        <w:spacing w:after="40" w:before="0"/>
        <w:ind w:firstLine="202"/>
        <w:jc w:val="both"/>
      </w:pPr>
      <w:r>
        <w:rPr>
          <w:rFonts w:ascii="Times New Roman" w:hAnsi="Times New Roman"/>
          <w:b w:val="0"/>
          <w:i w:val="0"/>
          <w:sz w:val="20"/>
        </w:rPr>
        <w:t>Table IV and Fig. 3 summarize the results. Under random CV every model clearly beat the mean baseline (R</w:t>
      </w:r>
      <w:r>
        <w:rPr>
          <w:rFonts w:ascii="Times New Roman" w:hAnsi="Times New Roman"/>
          <w:b w:val="0"/>
          <w:i w:val="0"/>
          <w:sz w:val="20"/>
          <w:vertAlign w:val="superscript"/>
        </w:rPr>
        <w:t>2</w:t>
      </w:r>
      <w:r>
        <w:rPr>
          <w:rFonts w:ascii="Times New Roman" w:hAnsi="Times New Roman"/>
          <w:b w:val="0"/>
          <w:i w:val="0"/>
          <w:sz w:val="20"/>
        </w:rPr>
        <w:t xml:space="preserve"> = −0.01, typical error ×5.4). The physics features raised R</w:t>
      </w:r>
      <w:r>
        <w:rPr>
          <w:rFonts w:ascii="Times New Roman" w:hAnsi="Times New Roman"/>
          <w:b w:val="0"/>
          <w:i w:val="0"/>
          <w:sz w:val="20"/>
          <w:vertAlign w:val="superscript"/>
        </w:rPr>
        <w:t>2</w:t>
      </w:r>
      <w:r>
        <w:rPr>
          <w:rFonts w:ascii="Times New Roman" w:hAnsi="Times New Roman"/>
          <w:b w:val="0"/>
          <w:i w:val="0"/>
          <w:sz w:val="20"/>
        </w:rPr>
        <w:t xml:space="preserve"> for all six models, from 0.39–0.56 to 0.47–0.61, and the best models (RF and XGBoost with physics features, R</w:t>
      </w:r>
      <w:r>
        <w:rPr>
          <w:rFonts w:ascii="Times New Roman" w:hAnsi="Times New Roman"/>
          <w:b w:val="0"/>
          <w:i w:val="0"/>
          <w:sz w:val="20"/>
          <w:vertAlign w:val="superscript"/>
        </w:rPr>
        <w:t>2</w:t>
      </w:r>
      <w:r>
        <w:rPr>
          <w:rFonts w:ascii="Times New Roman" w:hAnsi="Times New Roman"/>
          <w:b w:val="0"/>
          <w:i w:val="0"/>
          <w:sz w:val="20"/>
        </w:rPr>
        <w:t xml:space="preserve"> = 0.61) had typical errors of ×2.4–2.5.</w:t>
      </w:r>
    </w:p>
    <w:p>
      <w:pPr>
        <w:keepNext w:val="0"/>
        <w:spacing w:after="40" w:before="0"/>
        <w:ind w:firstLine="202"/>
        <w:jc w:val="both"/>
      </w:pPr>
      <w:r>
        <w:rPr>
          <w:rFonts w:ascii="Times New Roman" w:hAnsi="Times New Roman"/>
          <w:b w:val="0"/>
          <w:i w:val="0"/>
          <w:sz w:val="20"/>
        </w:rPr>
        <w:t>Under LOPO the picture reverses (Fig. 3, lower panel). The mean baseline gave R</w:t>
      </w:r>
      <w:r>
        <w:rPr>
          <w:rFonts w:ascii="Times New Roman" w:hAnsi="Times New Roman"/>
          <w:b w:val="0"/>
          <w:i w:val="0"/>
          <w:sz w:val="20"/>
          <w:vertAlign w:val="superscript"/>
        </w:rPr>
        <w:t>2</w:t>
      </w:r>
      <w:r>
        <w:rPr>
          <w:rFonts w:ascii="Times New Roman" w:hAnsi="Times New Roman"/>
          <w:b w:val="0"/>
          <w:i w:val="0"/>
          <w:sz w:val="20"/>
        </w:rPr>
        <w:t xml:space="preserve"> = −0.22 and a typical error of ×6.5. Only ridge regression with the base inputs had a positive R</w:t>
      </w:r>
      <w:r>
        <w:rPr>
          <w:rFonts w:ascii="Times New Roman" w:hAnsi="Times New Roman"/>
          <w:b w:val="0"/>
          <w:i w:val="0"/>
          <w:sz w:val="20"/>
          <w:vertAlign w:val="superscript"/>
        </w:rPr>
        <w:t>2</w:t>
      </w:r>
      <w:r>
        <w:rPr>
          <w:rFonts w:ascii="Times New Roman" w:hAnsi="Times New Roman"/>
          <w:b w:val="0"/>
          <w:i w:val="0"/>
          <w:sz w:val="20"/>
        </w:rPr>
        <w:t xml:space="preserve"> (0.12, ×4.9); with physics features ridge had a similar typical error (×4.9) but R</w:t>
      </w:r>
      <w:r>
        <w:rPr>
          <w:rFonts w:ascii="Times New Roman" w:hAnsi="Times New Roman"/>
          <w:b w:val="0"/>
          <w:i w:val="0"/>
          <w:sz w:val="20"/>
          <w:vertAlign w:val="superscript"/>
        </w:rPr>
        <w:t>2</w:t>
      </w:r>
      <w:r>
        <w:rPr>
          <w:rFonts w:ascii="Times New Roman" w:hAnsi="Times New Roman"/>
          <w:b w:val="0"/>
          <w:i w:val="0"/>
          <w:sz w:val="20"/>
        </w:rPr>
        <w:t xml:space="preserve"> = −0.02. All five nonlinear models had negative R</w:t>
      </w:r>
      <w:r>
        <w:rPr>
          <w:rFonts w:ascii="Times New Roman" w:hAnsi="Times New Roman"/>
          <w:b w:val="0"/>
          <w:i w:val="0"/>
          <w:sz w:val="20"/>
          <w:vertAlign w:val="superscript"/>
        </w:rPr>
        <w:t>2</w:t>
      </w:r>
      <w:r>
        <w:rPr>
          <w:rFonts w:ascii="Times New Roman" w:hAnsi="Times New Roman"/>
          <w:b w:val="0"/>
          <w:i w:val="0"/>
          <w:sz w:val="20"/>
        </w:rPr>
        <w:t xml:space="preserve"> with either input set, from −0.09 (ANN and SVR, base inputs) to −0.41 (ANN, physics features), with typical errors of ×5.5–6.8 against ×6.5 for the baseline. In mm</w:t>
      </w:r>
      <w:r>
        <w:rPr>
          <w:rFonts w:ascii="Times New Roman" w:hAnsi="Times New Roman"/>
          <w:b w:val="0"/>
          <w:i w:val="0"/>
          <w:sz w:val="20"/>
          <w:vertAlign w:val="superscript"/>
        </w:rPr>
        <w:t>3</w:t>
      </w:r>
      <w:r>
        <w:rPr>
          <w:rFonts w:ascii="Times New Roman" w:hAnsi="Times New Roman"/>
          <w:b w:val="0"/>
          <w:i w:val="0"/>
          <w:sz w:val="20"/>
        </w:rPr>
        <w:t>/min, R</w:t>
      </w:r>
      <w:r>
        <w:rPr>
          <w:rFonts w:ascii="Times New Roman" w:hAnsi="Times New Roman"/>
          <w:b w:val="0"/>
          <w:i w:val="0"/>
          <w:sz w:val="20"/>
          <w:vertAlign w:val="superscript"/>
        </w:rPr>
        <w:t>2</w:t>
      </w:r>
      <w:r>
        <w:rPr>
          <w:rFonts w:ascii="Times New Roman" w:hAnsi="Times New Roman"/>
          <w:b w:val="0"/>
          <w:i w:val="0"/>
          <w:sz w:val="20"/>
        </w:rPr>
        <w:t xml:space="preserve"> was negative for every model (−0.12 to −0.27) because a few very large TWR values dominate that scale. Higher accuracy under random CV did not mean better transfer: ridge with the base inputs had one of the lowest random-CV scores but transferred best.</w:t>
      </w:r>
    </w:p>
    <w:p>
      <w:pPr>
        <w:keepNext/>
        <w:jc w:val="center"/>
      </w:pPr>
      <w:r>
        <w:drawing>
          <wp:inline xmlns:a="http://schemas.openxmlformats.org/drawingml/2006/main" xmlns:pic="http://schemas.openxmlformats.org/drawingml/2006/picture">
            <wp:extent cx="3063240" cy="3111818"/>
            <wp:docPr id="3" name="Picture 3"/>
            <wp:cNvGraphicFramePr>
              <a:graphicFrameLocks noChangeAspect="1"/>
            </wp:cNvGraphicFramePr>
            <a:graphic>
              <a:graphicData uri="http://schemas.openxmlformats.org/drawingml/2006/picture">
                <pic:pic>
                  <pic:nvPicPr>
                    <pic:cNvPr id="0" name="fig3_r2.png"/>
                    <pic:cNvPicPr/>
                  </pic:nvPicPr>
                  <pic:blipFill>
                    <a:blip r:embed="rId11"/>
                    <a:stretch>
                      <a:fillRect/>
                    </a:stretch>
                  </pic:blipFill>
                  <pic:spPr>
                    <a:xfrm>
                      <a:off x="0" y="0"/>
                      <a:ext cx="3063240" cy="3111818"/>
                    </a:xfrm>
                    <a:prstGeom prst="rect"/>
                  </pic:spPr>
                </pic:pic>
              </a:graphicData>
            </a:graphic>
          </wp:inline>
        </w:drawing>
      </w:r>
    </w:p>
    <w:p>
      <w:pPr>
        <w:keepNext w:val="0"/>
        <w:spacing w:after="120" w:before="0"/>
        <w:jc w:val="both"/>
      </w:pPr>
      <w:r>
        <w:rPr>
          <w:rFonts w:ascii="Times New Roman" w:hAnsi="Times New Roman"/>
          <w:b w:val="0"/>
          <w:i w:val="0"/>
          <w:sz w:val="16"/>
        </w:rPr>
        <w:t>Fig. 3. R² on log10(TWR) for each model and input set under random 5-fold CV (top) and leave-one-paper-out validation (bottom).</w:t>
      </w:r>
    </w:p>
    <w:p>
      <w:pPr>
        <w:keepNext/>
        <w:spacing w:after="40" w:before="80"/>
        <w:jc w:val="left"/>
      </w:pPr>
      <w:r>
        <w:rPr>
          <w:rFonts w:ascii="Times New Roman" w:hAnsi="Times New Roman"/>
          <w:b w:val="0"/>
          <w:i/>
          <w:sz w:val="20"/>
        </w:rPr>
        <w:t>B. Behaviour on Each Held-Out Study</w:t>
      </w:r>
    </w:p>
    <w:p>
      <w:pPr>
        <w:keepNext/>
        <w:spacing w:after="0" w:before="0"/>
        <w:jc w:val="center"/>
      </w:pPr>
      <w:r>
        <w:rPr>
          <w:rFonts w:ascii="Times New Roman" w:hAnsi="Times New Roman"/>
          <w:b w:val="0"/>
          <w:i w:val="0"/>
          <w:sz w:val="16"/>
        </w:rPr>
        <w:t>TABLE V</w:t>
      </w:r>
    </w:p>
    <w:p>
      <w:pPr>
        <w:keepNext/>
        <w:spacing w:after="40" w:before="0"/>
        <w:jc w:val="center"/>
      </w:pPr>
      <w:r>
        <w:rPr>
          <w:rFonts w:ascii="Times New Roman" w:hAnsi="Times New Roman"/>
          <w:b w:val="0"/>
          <w:i w:val="0"/>
          <w:sz w:val="14"/>
        </w:rPr>
        <w:t>LEAVE-ONE-PAPER-OUT ERRORS OF RIDGE BY STUDY</w:t>
      </w:r>
    </w:p>
    <w:tbl>
      <w:tblPr>
        <w:tblW w:type="dxa" w:w="4968"/>
        <w:jc w:val="center"/>
        <w:tblLayout w:type="fixed"/>
        <w:tblLook w:firstColumn="1" w:firstRow="1" w:lastColumn="0" w:lastRow="0" w:noHBand="0" w:noVBand="1" w:val="04A0"/>
        <w:tblCellMar>
          <w:left w:w="43" w:type="dxa"/>
          <w:right w:w="43" w:type="dxa"/>
        </w:tblCellMar>
        <w:tblBorders>
          <w:top w:val="single" w:sz="6"/>
          <w:left w:val="nil"/>
          <w:bottom w:val="single" w:sz="6"/>
          <w:right w:val="nil"/>
          <w:insideH w:val="nil"/>
          <w:insideV w:val="nil"/>
        </w:tblBorders>
      </w:tblPr>
      <w:tblGrid>
        <w:gridCol w:w="648"/>
        <w:gridCol w:w="432"/>
        <w:gridCol w:w="792"/>
        <w:gridCol w:w="720"/>
        <w:gridCol w:w="792"/>
        <w:gridCol w:w="720"/>
        <w:gridCol w:w="864"/>
      </w:tblGrid>
      <w:tr>
        <w:trPr>
          <w:cantSplit/>
        </w:trPr>
        <w:tc>
          <w:tcPr>
            <w:tcW w:type="dxa" w:w="648"/>
            <w:tcBorders>
              <w:bottom w:val="single" w:sz="4"/>
            </w:tcBorders>
          </w:tcPr>
          <w:p>
            <w:pPr>
              <w:keepNext/>
              <w:spacing w:after="0"/>
              <w:jc w:val="left"/>
            </w:pPr>
            <w:r/>
            <w:r>
              <w:rPr>
                <w:rFonts w:ascii="Times New Roman" w:hAnsi="Times New Roman"/>
                <w:b/>
                <w:i w:val="0"/>
                <w:sz w:val="14"/>
              </w:rPr>
              <w:t>Study</w:t>
            </w:r>
          </w:p>
        </w:tc>
        <w:tc>
          <w:tcPr>
            <w:tcW w:type="dxa" w:w="432"/>
            <w:tcBorders>
              <w:bottom w:val="single" w:sz="4"/>
            </w:tcBorders>
          </w:tcPr>
          <w:p>
            <w:pPr>
              <w:keepNext/>
              <w:spacing w:after="0"/>
              <w:jc w:val="center"/>
            </w:pPr>
            <w:r/>
            <w:r>
              <w:rPr>
                <w:rFonts w:ascii="Times New Roman" w:hAnsi="Times New Roman"/>
                <w:b/>
                <w:i w:val="0"/>
                <w:sz w:val="14"/>
              </w:rPr>
              <w:t>n</w:t>
            </w:r>
          </w:p>
        </w:tc>
        <w:tc>
          <w:tcPr>
            <w:tcW w:type="dxa" w:w="792"/>
            <w:tcBorders>
              <w:bottom w:val="single" w:sz="4"/>
            </w:tcBorders>
          </w:tcPr>
          <w:p>
            <w:pPr>
              <w:keepNext/>
              <w:spacing w:after="0"/>
              <w:jc w:val="center"/>
            </w:pPr>
            <w:r/>
            <w:r>
              <w:rPr>
                <w:rFonts w:ascii="Times New Roman" w:hAnsi="Times New Roman"/>
                <w:b/>
                <w:i w:val="0"/>
                <w:sz w:val="14"/>
              </w:rPr>
              <w:t>Base error</w:t>
            </w:r>
          </w:p>
        </w:tc>
        <w:tc>
          <w:tcPr>
            <w:tcW w:type="dxa" w:w="720"/>
            <w:tcBorders>
              <w:bottom w:val="single" w:sz="4"/>
            </w:tcBorders>
          </w:tcPr>
          <w:p>
            <w:pPr>
              <w:keepNext/>
              <w:spacing w:after="0"/>
              <w:jc w:val="center"/>
            </w:pPr>
            <w:r/>
            <w:r>
              <w:rPr>
                <w:rFonts w:ascii="Times New Roman" w:hAnsi="Times New Roman"/>
                <w:b/>
                <w:i w:val="0"/>
                <w:sz w:val="14"/>
              </w:rPr>
              <w:t>Base ρ</w:t>
            </w:r>
          </w:p>
        </w:tc>
        <w:tc>
          <w:tcPr>
            <w:tcW w:type="dxa" w:w="792"/>
            <w:tcBorders>
              <w:bottom w:val="single" w:sz="4"/>
            </w:tcBorders>
          </w:tcPr>
          <w:p>
            <w:pPr>
              <w:keepNext/>
              <w:spacing w:after="0"/>
              <w:jc w:val="center"/>
            </w:pPr>
            <w:r/>
            <w:r>
              <w:rPr>
                <w:rFonts w:ascii="Times New Roman" w:hAnsi="Times New Roman"/>
                <w:b/>
                <w:i w:val="0"/>
                <w:sz w:val="14"/>
              </w:rPr>
              <w:t>Phys. error</w:t>
            </w:r>
          </w:p>
        </w:tc>
        <w:tc>
          <w:tcPr>
            <w:tcW w:type="dxa" w:w="720"/>
            <w:tcBorders>
              <w:bottom w:val="single" w:sz="4"/>
            </w:tcBorders>
          </w:tcPr>
          <w:p>
            <w:pPr>
              <w:keepNext/>
              <w:spacing w:after="0"/>
              <w:jc w:val="center"/>
            </w:pPr>
            <w:r/>
            <w:r>
              <w:rPr>
                <w:rFonts w:ascii="Times New Roman" w:hAnsi="Times New Roman"/>
                <w:b/>
                <w:i w:val="0"/>
                <w:sz w:val="14"/>
              </w:rPr>
              <w:t>Phys. ρ</w:t>
            </w:r>
          </w:p>
        </w:tc>
        <w:tc>
          <w:tcPr>
            <w:tcW w:type="dxa" w:w="864"/>
            <w:tcBorders>
              <w:bottom w:val="single" w:sz="4"/>
            </w:tcBorders>
          </w:tcPr>
          <w:p>
            <w:pPr>
              <w:keepNext/>
              <w:spacing w:after="0"/>
              <w:jc w:val="center"/>
            </w:pPr>
            <w:r/>
            <w:r>
              <w:rPr>
                <w:rFonts w:ascii="Times New Roman" w:hAnsi="Times New Roman"/>
                <w:b/>
                <w:i w:val="0"/>
                <w:sz w:val="14"/>
              </w:rPr>
              <w:t>Phys. bias</w:t>
            </w:r>
          </w:p>
        </w:tc>
      </w:tr>
      <w:tr>
        <w:trPr>
          <w:cantSplit/>
        </w:trPr>
        <w:tc>
          <w:tcPr>
            <w:tcW w:type="dxa" w:w="648"/>
          </w:tcPr>
          <w:p>
            <w:pPr>
              <w:keepNext/>
              <w:spacing w:after="0"/>
              <w:jc w:val="left"/>
            </w:pPr>
            <w:r/>
            <w:r>
              <w:rPr>
                <w:rFonts w:ascii="Times New Roman" w:hAnsi="Times New Roman"/>
                <w:b w:val="0"/>
                <w:i w:val="0"/>
                <w:sz w:val="14"/>
              </w:rPr>
              <w:t>P01</w:t>
            </w:r>
          </w:p>
        </w:tc>
        <w:tc>
          <w:tcPr>
            <w:tcW w:type="dxa" w:w="432"/>
          </w:tcPr>
          <w:p>
            <w:pPr>
              <w:keepNext/>
              <w:spacing w:after="0"/>
              <w:jc w:val="center"/>
            </w:pPr>
            <w:r/>
            <w:r>
              <w:rPr>
                <w:rFonts w:ascii="Times New Roman" w:hAnsi="Times New Roman"/>
                <w:b w:val="0"/>
                <w:i w:val="0"/>
                <w:sz w:val="14"/>
              </w:rPr>
              <w:t>30</w:t>
            </w:r>
          </w:p>
        </w:tc>
        <w:tc>
          <w:tcPr>
            <w:tcW w:type="dxa" w:w="792"/>
          </w:tcPr>
          <w:p>
            <w:pPr>
              <w:keepNext/>
              <w:spacing w:after="0"/>
              <w:jc w:val="center"/>
            </w:pPr>
            <w:r/>
            <w:r>
              <w:rPr>
                <w:rFonts w:ascii="Times New Roman" w:hAnsi="Times New Roman"/>
                <w:b w:val="0"/>
                <w:i w:val="0"/>
                <w:sz w:val="14"/>
              </w:rPr>
              <w:t>×2.3</w:t>
            </w:r>
          </w:p>
        </w:tc>
        <w:tc>
          <w:tcPr>
            <w:tcW w:type="dxa" w:w="720"/>
          </w:tcPr>
          <w:p>
            <w:pPr>
              <w:keepNext/>
              <w:spacing w:after="0"/>
              <w:jc w:val="center"/>
            </w:pPr>
            <w:r/>
            <w:r>
              <w:rPr>
                <w:rFonts w:ascii="Times New Roman" w:hAnsi="Times New Roman"/>
                <w:b w:val="0"/>
                <w:i w:val="0"/>
                <w:sz w:val="14"/>
              </w:rPr>
              <w:t>0.22</w:t>
            </w:r>
          </w:p>
        </w:tc>
        <w:tc>
          <w:tcPr>
            <w:tcW w:type="dxa" w:w="792"/>
          </w:tcPr>
          <w:p>
            <w:pPr>
              <w:keepNext/>
              <w:spacing w:after="0"/>
              <w:jc w:val="center"/>
            </w:pPr>
            <w:r/>
            <w:r>
              <w:rPr>
                <w:rFonts w:ascii="Times New Roman" w:hAnsi="Times New Roman"/>
                <w:b w:val="0"/>
                <w:i w:val="0"/>
                <w:sz w:val="14"/>
              </w:rPr>
              <w:t>×2.3</w:t>
            </w:r>
          </w:p>
        </w:tc>
        <w:tc>
          <w:tcPr>
            <w:tcW w:type="dxa" w:w="720"/>
          </w:tcPr>
          <w:p>
            <w:pPr>
              <w:keepNext/>
              <w:spacing w:after="0"/>
              <w:jc w:val="center"/>
            </w:pPr>
            <w:r/>
            <w:r>
              <w:rPr>
                <w:rFonts w:ascii="Times New Roman" w:hAnsi="Times New Roman"/>
                <w:b w:val="0"/>
                <w:i w:val="0"/>
                <w:sz w:val="14"/>
              </w:rPr>
              <w:t>0.43</w:t>
            </w:r>
          </w:p>
        </w:tc>
        <w:tc>
          <w:tcPr>
            <w:tcW w:type="dxa" w:w="864"/>
          </w:tcPr>
          <w:p>
            <w:pPr>
              <w:keepNext/>
              <w:spacing w:after="0"/>
              <w:jc w:val="center"/>
            </w:pPr>
            <w:r/>
            <w:r>
              <w:rPr>
                <w:rFonts w:ascii="Times New Roman" w:hAnsi="Times New Roman"/>
                <w:b w:val="0"/>
                <w:i w:val="0"/>
                <w:sz w:val="14"/>
              </w:rPr>
              <w:t>−0.23</w:t>
            </w:r>
          </w:p>
        </w:tc>
      </w:tr>
      <w:tr>
        <w:trPr>
          <w:cantSplit/>
        </w:trPr>
        <w:tc>
          <w:tcPr>
            <w:tcW w:type="dxa" w:w="648"/>
          </w:tcPr>
          <w:p>
            <w:pPr>
              <w:keepNext/>
              <w:spacing w:after="0"/>
              <w:jc w:val="left"/>
            </w:pPr>
            <w:r/>
            <w:r>
              <w:rPr>
                <w:rFonts w:ascii="Times New Roman" w:hAnsi="Times New Roman"/>
                <w:b w:val="0"/>
                <w:i w:val="0"/>
                <w:sz w:val="14"/>
              </w:rPr>
              <w:t>P06</w:t>
            </w:r>
          </w:p>
        </w:tc>
        <w:tc>
          <w:tcPr>
            <w:tcW w:type="dxa" w:w="432"/>
          </w:tcPr>
          <w:p>
            <w:pPr>
              <w:keepNext/>
              <w:spacing w:after="0"/>
              <w:jc w:val="center"/>
            </w:pPr>
            <w:r/>
            <w:r>
              <w:rPr>
                <w:rFonts w:ascii="Times New Roman" w:hAnsi="Times New Roman"/>
                <w:b w:val="0"/>
                <w:i w:val="0"/>
                <w:sz w:val="14"/>
              </w:rPr>
              <w:t>27</w:t>
            </w:r>
          </w:p>
        </w:tc>
        <w:tc>
          <w:tcPr>
            <w:tcW w:type="dxa" w:w="792"/>
          </w:tcPr>
          <w:p>
            <w:pPr>
              <w:keepNext/>
              <w:spacing w:after="0"/>
              <w:jc w:val="center"/>
            </w:pPr>
            <w:r/>
            <w:r>
              <w:rPr>
                <w:rFonts w:ascii="Times New Roman" w:hAnsi="Times New Roman"/>
                <w:b w:val="0"/>
                <w:i w:val="0"/>
                <w:sz w:val="14"/>
              </w:rPr>
              <w:t>×6.6</w:t>
            </w:r>
          </w:p>
        </w:tc>
        <w:tc>
          <w:tcPr>
            <w:tcW w:type="dxa" w:w="720"/>
          </w:tcPr>
          <w:p>
            <w:pPr>
              <w:keepNext/>
              <w:spacing w:after="0"/>
              <w:jc w:val="center"/>
            </w:pPr>
            <w:r/>
            <w:r>
              <w:rPr>
                <w:rFonts w:ascii="Times New Roman" w:hAnsi="Times New Roman"/>
                <w:b w:val="0"/>
                <w:i w:val="0"/>
                <w:sz w:val="14"/>
              </w:rPr>
              <w:t>0.56</w:t>
            </w:r>
          </w:p>
        </w:tc>
        <w:tc>
          <w:tcPr>
            <w:tcW w:type="dxa" w:w="792"/>
          </w:tcPr>
          <w:p>
            <w:pPr>
              <w:keepNext/>
              <w:spacing w:after="0"/>
              <w:jc w:val="center"/>
            </w:pPr>
            <w:r/>
            <w:r>
              <w:rPr>
                <w:rFonts w:ascii="Times New Roman" w:hAnsi="Times New Roman"/>
                <w:b w:val="0"/>
                <w:i w:val="0"/>
                <w:sz w:val="14"/>
              </w:rPr>
              <w:t>×23.8</w:t>
            </w:r>
          </w:p>
        </w:tc>
        <w:tc>
          <w:tcPr>
            <w:tcW w:type="dxa" w:w="720"/>
          </w:tcPr>
          <w:p>
            <w:pPr>
              <w:keepNext/>
              <w:spacing w:after="0"/>
              <w:jc w:val="center"/>
            </w:pPr>
            <w:r/>
            <w:r>
              <w:rPr>
                <w:rFonts w:ascii="Times New Roman" w:hAnsi="Times New Roman"/>
                <w:b w:val="0"/>
                <w:i w:val="0"/>
                <w:sz w:val="14"/>
              </w:rPr>
              <w:t>0.41</w:t>
            </w:r>
          </w:p>
        </w:tc>
        <w:tc>
          <w:tcPr>
            <w:tcW w:type="dxa" w:w="864"/>
          </w:tcPr>
          <w:p>
            <w:pPr>
              <w:keepNext/>
              <w:spacing w:after="0"/>
              <w:jc w:val="center"/>
            </w:pPr>
            <w:r/>
            <w:r>
              <w:rPr>
                <w:rFonts w:ascii="Times New Roman" w:hAnsi="Times New Roman"/>
                <w:b w:val="0"/>
                <w:i w:val="0"/>
                <w:sz w:val="14"/>
              </w:rPr>
              <w:t>1.38</w:t>
            </w:r>
          </w:p>
        </w:tc>
      </w:tr>
      <w:tr>
        <w:trPr>
          <w:cantSplit/>
        </w:trPr>
        <w:tc>
          <w:tcPr>
            <w:tcW w:type="dxa" w:w="648"/>
          </w:tcPr>
          <w:p>
            <w:pPr>
              <w:keepNext/>
              <w:spacing w:after="0"/>
              <w:jc w:val="left"/>
            </w:pPr>
            <w:r/>
            <w:r>
              <w:rPr>
                <w:rFonts w:ascii="Times New Roman" w:hAnsi="Times New Roman"/>
                <w:b w:val="0"/>
                <w:i w:val="0"/>
                <w:sz w:val="14"/>
              </w:rPr>
              <w:t>P10</w:t>
            </w:r>
          </w:p>
        </w:tc>
        <w:tc>
          <w:tcPr>
            <w:tcW w:type="dxa" w:w="432"/>
          </w:tcPr>
          <w:p>
            <w:pPr>
              <w:keepNext/>
              <w:spacing w:after="0"/>
              <w:jc w:val="center"/>
            </w:pPr>
            <w:r/>
            <w:r>
              <w:rPr>
                <w:rFonts w:ascii="Times New Roman" w:hAnsi="Times New Roman"/>
                <w:b w:val="0"/>
                <w:i w:val="0"/>
                <w:sz w:val="14"/>
              </w:rPr>
              <w:t>9</w:t>
            </w:r>
          </w:p>
        </w:tc>
        <w:tc>
          <w:tcPr>
            <w:tcW w:type="dxa" w:w="792"/>
          </w:tcPr>
          <w:p>
            <w:pPr>
              <w:keepNext/>
              <w:spacing w:after="0"/>
              <w:jc w:val="center"/>
            </w:pPr>
            <w:r/>
            <w:r>
              <w:rPr>
                <w:rFonts w:ascii="Times New Roman" w:hAnsi="Times New Roman"/>
                <w:b w:val="0"/>
                <w:i w:val="0"/>
                <w:sz w:val="14"/>
              </w:rPr>
              <w:t>×13.2</w:t>
            </w:r>
          </w:p>
        </w:tc>
        <w:tc>
          <w:tcPr>
            <w:tcW w:type="dxa" w:w="720"/>
          </w:tcPr>
          <w:p>
            <w:pPr>
              <w:keepNext/>
              <w:spacing w:after="0"/>
              <w:jc w:val="center"/>
            </w:pPr>
            <w:r/>
            <w:r>
              <w:rPr>
                <w:rFonts w:ascii="Times New Roman" w:hAnsi="Times New Roman"/>
                <w:b w:val="0"/>
                <w:i w:val="0"/>
                <w:sz w:val="14"/>
              </w:rPr>
              <w:t>0.02</w:t>
            </w:r>
          </w:p>
        </w:tc>
        <w:tc>
          <w:tcPr>
            <w:tcW w:type="dxa" w:w="792"/>
          </w:tcPr>
          <w:p>
            <w:pPr>
              <w:keepNext/>
              <w:spacing w:after="0"/>
              <w:jc w:val="center"/>
            </w:pPr>
            <w:r/>
            <w:r>
              <w:rPr>
                <w:rFonts w:ascii="Times New Roman" w:hAnsi="Times New Roman"/>
                <w:b w:val="0"/>
                <w:i w:val="0"/>
                <w:sz w:val="14"/>
              </w:rPr>
              <w:t>×1.8</w:t>
            </w:r>
          </w:p>
        </w:tc>
        <w:tc>
          <w:tcPr>
            <w:tcW w:type="dxa" w:w="720"/>
          </w:tcPr>
          <w:p>
            <w:pPr>
              <w:keepNext/>
              <w:spacing w:after="0"/>
              <w:jc w:val="center"/>
            </w:pPr>
            <w:r/>
            <w:r>
              <w:rPr>
                <w:rFonts w:ascii="Times New Roman" w:hAnsi="Times New Roman"/>
                <w:b w:val="0"/>
                <w:i w:val="0"/>
                <w:sz w:val="14"/>
              </w:rPr>
              <w:t>0.95</w:t>
            </w:r>
          </w:p>
        </w:tc>
        <w:tc>
          <w:tcPr>
            <w:tcW w:type="dxa" w:w="864"/>
          </w:tcPr>
          <w:p>
            <w:pPr>
              <w:keepNext/>
              <w:spacing w:after="0"/>
              <w:jc w:val="center"/>
            </w:pPr>
            <w:r/>
            <w:r>
              <w:rPr>
                <w:rFonts w:ascii="Times New Roman" w:hAnsi="Times New Roman"/>
                <w:b w:val="0"/>
                <w:i w:val="0"/>
                <w:sz w:val="14"/>
              </w:rPr>
              <w:t>0.24</w:t>
            </w:r>
          </w:p>
        </w:tc>
      </w:tr>
      <w:tr>
        <w:trPr>
          <w:cantSplit/>
        </w:trPr>
        <w:tc>
          <w:tcPr>
            <w:tcW w:type="dxa" w:w="648"/>
          </w:tcPr>
          <w:p>
            <w:pPr>
              <w:keepNext/>
              <w:spacing w:after="0"/>
              <w:jc w:val="left"/>
            </w:pPr>
            <w:r/>
            <w:r>
              <w:rPr>
                <w:rFonts w:ascii="Times New Roman" w:hAnsi="Times New Roman"/>
                <w:b w:val="0"/>
                <w:i w:val="0"/>
                <w:sz w:val="14"/>
              </w:rPr>
              <w:t>P12</w:t>
            </w:r>
          </w:p>
        </w:tc>
        <w:tc>
          <w:tcPr>
            <w:tcW w:type="dxa" w:w="432"/>
          </w:tcPr>
          <w:p>
            <w:pPr>
              <w:keepNext/>
              <w:spacing w:after="0"/>
              <w:jc w:val="center"/>
            </w:pPr>
            <w:r/>
            <w:r>
              <w:rPr>
                <w:rFonts w:ascii="Times New Roman" w:hAnsi="Times New Roman"/>
                <w:b w:val="0"/>
                <w:i w:val="0"/>
                <w:sz w:val="14"/>
              </w:rPr>
              <w:t>9</w:t>
            </w:r>
          </w:p>
        </w:tc>
        <w:tc>
          <w:tcPr>
            <w:tcW w:type="dxa" w:w="792"/>
          </w:tcPr>
          <w:p>
            <w:pPr>
              <w:keepNext/>
              <w:spacing w:after="0"/>
              <w:jc w:val="center"/>
            </w:pPr>
            <w:r/>
            <w:r>
              <w:rPr>
                <w:rFonts w:ascii="Times New Roman" w:hAnsi="Times New Roman"/>
                <w:b w:val="0"/>
                <w:i w:val="0"/>
                <w:sz w:val="14"/>
              </w:rPr>
              <w:t>×2.7</w:t>
            </w:r>
          </w:p>
        </w:tc>
        <w:tc>
          <w:tcPr>
            <w:tcW w:type="dxa" w:w="720"/>
          </w:tcPr>
          <w:p>
            <w:pPr>
              <w:keepNext/>
              <w:spacing w:after="0"/>
              <w:jc w:val="center"/>
            </w:pPr>
            <w:r/>
            <w:r>
              <w:rPr>
                <w:rFonts w:ascii="Times New Roman" w:hAnsi="Times New Roman"/>
                <w:b w:val="0"/>
                <w:i w:val="0"/>
                <w:sz w:val="14"/>
              </w:rPr>
              <w:t>0.28</w:t>
            </w:r>
          </w:p>
        </w:tc>
        <w:tc>
          <w:tcPr>
            <w:tcW w:type="dxa" w:w="792"/>
          </w:tcPr>
          <w:p>
            <w:pPr>
              <w:keepNext/>
              <w:spacing w:after="0"/>
              <w:jc w:val="center"/>
            </w:pPr>
            <w:r/>
            <w:r>
              <w:rPr>
                <w:rFonts w:ascii="Times New Roman" w:hAnsi="Times New Roman"/>
                <w:b w:val="0"/>
                <w:i w:val="0"/>
                <w:sz w:val="14"/>
              </w:rPr>
              <w:t>×2.0</w:t>
            </w:r>
          </w:p>
        </w:tc>
        <w:tc>
          <w:tcPr>
            <w:tcW w:type="dxa" w:w="720"/>
          </w:tcPr>
          <w:p>
            <w:pPr>
              <w:keepNext/>
              <w:spacing w:after="0"/>
              <w:jc w:val="center"/>
            </w:pPr>
            <w:r/>
            <w:r>
              <w:rPr>
                <w:rFonts w:ascii="Times New Roman" w:hAnsi="Times New Roman"/>
                <w:b w:val="0"/>
                <w:i w:val="0"/>
                <w:sz w:val="14"/>
              </w:rPr>
              <w:t>0.48</w:t>
            </w:r>
          </w:p>
        </w:tc>
        <w:tc>
          <w:tcPr>
            <w:tcW w:type="dxa" w:w="864"/>
          </w:tcPr>
          <w:p>
            <w:pPr>
              <w:keepNext/>
              <w:spacing w:after="0"/>
              <w:jc w:val="center"/>
            </w:pPr>
            <w:r/>
            <w:r>
              <w:rPr>
                <w:rFonts w:ascii="Times New Roman" w:hAnsi="Times New Roman"/>
                <w:b w:val="0"/>
                <w:i w:val="0"/>
                <w:sz w:val="14"/>
              </w:rPr>
              <w:t>−0.20</w:t>
            </w:r>
          </w:p>
        </w:tc>
      </w:tr>
      <w:tr>
        <w:trPr>
          <w:cantSplit/>
        </w:trPr>
        <w:tc>
          <w:tcPr>
            <w:tcW w:type="dxa" w:w="648"/>
          </w:tcPr>
          <w:p>
            <w:pPr>
              <w:keepNext/>
              <w:spacing w:after="0"/>
              <w:jc w:val="left"/>
            </w:pPr>
            <w:r/>
            <w:r>
              <w:rPr>
                <w:rFonts w:ascii="Times New Roman" w:hAnsi="Times New Roman"/>
                <w:b w:val="0"/>
                <w:i w:val="0"/>
                <w:sz w:val="14"/>
              </w:rPr>
              <w:t>P13</w:t>
            </w:r>
          </w:p>
        </w:tc>
        <w:tc>
          <w:tcPr>
            <w:tcW w:type="dxa" w:w="432"/>
          </w:tcPr>
          <w:p>
            <w:pPr>
              <w:keepNext/>
              <w:spacing w:after="0"/>
              <w:jc w:val="center"/>
            </w:pPr>
            <w:r/>
            <w:r>
              <w:rPr>
                <w:rFonts w:ascii="Times New Roman" w:hAnsi="Times New Roman"/>
                <w:b w:val="0"/>
                <w:i w:val="0"/>
                <w:sz w:val="14"/>
              </w:rPr>
              <w:t>9</w:t>
            </w:r>
          </w:p>
        </w:tc>
        <w:tc>
          <w:tcPr>
            <w:tcW w:type="dxa" w:w="792"/>
          </w:tcPr>
          <w:p>
            <w:pPr>
              <w:keepNext/>
              <w:spacing w:after="0"/>
              <w:jc w:val="center"/>
            </w:pPr>
            <w:r/>
            <w:r>
              <w:rPr>
                <w:rFonts w:ascii="Times New Roman" w:hAnsi="Times New Roman"/>
                <w:b w:val="0"/>
                <w:i w:val="0"/>
                <w:sz w:val="14"/>
              </w:rPr>
              <w:t>×6.4</w:t>
            </w:r>
          </w:p>
        </w:tc>
        <w:tc>
          <w:tcPr>
            <w:tcW w:type="dxa" w:w="720"/>
          </w:tcPr>
          <w:p>
            <w:pPr>
              <w:keepNext/>
              <w:spacing w:after="0"/>
              <w:jc w:val="center"/>
            </w:pPr>
            <w:r/>
            <w:r>
              <w:rPr>
                <w:rFonts w:ascii="Times New Roman" w:hAnsi="Times New Roman"/>
                <w:b w:val="0"/>
                <w:i w:val="0"/>
                <w:sz w:val="14"/>
              </w:rPr>
              <w:t>0.20</w:t>
            </w:r>
          </w:p>
        </w:tc>
        <w:tc>
          <w:tcPr>
            <w:tcW w:type="dxa" w:w="792"/>
          </w:tcPr>
          <w:p>
            <w:pPr>
              <w:keepNext/>
              <w:spacing w:after="0"/>
              <w:jc w:val="center"/>
            </w:pPr>
            <w:r/>
            <w:r>
              <w:rPr>
                <w:rFonts w:ascii="Times New Roman" w:hAnsi="Times New Roman"/>
                <w:b w:val="0"/>
                <w:i w:val="0"/>
                <w:sz w:val="14"/>
              </w:rPr>
              <w:t>×12.8</w:t>
            </w:r>
          </w:p>
        </w:tc>
        <w:tc>
          <w:tcPr>
            <w:tcW w:type="dxa" w:w="720"/>
          </w:tcPr>
          <w:p>
            <w:pPr>
              <w:keepNext/>
              <w:spacing w:after="0"/>
              <w:jc w:val="center"/>
            </w:pPr>
            <w:r/>
            <w:r>
              <w:rPr>
                <w:rFonts w:ascii="Times New Roman" w:hAnsi="Times New Roman"/>
                <w:b w:val="0"/>
                <w:i w:val="0"/>
                <w:sz w:val="14"/>
              </w:rPr>
              <w:t>0.15</w:t>
            </w:r>
          </w:p>
        </w:tc>
        <w:tc>
          <w:tcPr>
            <w:tcW w:type="dxa" w:w="864"/>
          </w:tcPr>
          <w:p>
            <w:pPr>
              <w:keepNext/>
              <w:spacing w:after="0"/>
              <w:jc w:val="center"/>
            </w:pPr>
            <w:r/>
            <w:r>
              <w:rPr>
                <w:rFonts w:ascii="Times New Roman" w:hAnsi="Times New Roman"/>
                <w:b w:val="0"/>
                <w:i w:val="0"/>
                <w:sz w:val="14"/>
              </w:rPr>
              <w:t>1.11</w:t>
            </w:r>
          </w:p>
        </w:tc>
      </w:tr>
      <w:tr>
        <w:trPr>
          <w:cantSplit/>
        </w:trPr>
        <w:tc>
          <w:tcPr>
            <w:tcW w:type="dxa" w:w="648"/>
          </w:tcPr>
          <w:p>
            <w:pPr>
              <w:keepNext/>
              <w:spacing w:after="0"/>
              <w:jc w:val="left"/>
            </w:pPr>
            <w:r/>
            <w:r>
              <w:rPr>
                <w:rFonts w:ascii="Times New Roman" w:hAnsi="Times New Roman"/>
                <w:b w:val="0"/>
                <w:i w:val="0"/>
                <w:sz w:val="14"/>
              </w:rPr>
              <w:t>P21</w:t>
            </w:r>
          </w:p>
        </w:tc>
        <w:tc>
          <w:tcPr>
            <w:tcW w:type="dxa" w:w="432"/>
          </w:tcPr>
          <w:p>
            <w:pPr>
              <w:keepNext/>
              <w:spacing w:after="0"/>
              <w:jc w:val="center"/>
            </w:pPr>
            <w:r/>
            <w:r>
              <w:rPr>
                <w:rFonts w:ascii="Times New Roman" w:hAnsi="Times New Roman"/>
                <w:b w:val="0"/>
                <w:i w:val="0"/>
                <w:sz w:val="14"/>
              </w:rPr>
              <w:t>9</w:t>
            </w:r>
          </w:p>
        </w:tc>
        <w:tc>
          <w:tcPr>
            <w:tcW w:type="dxa" w:w="792"/>
          </w:tcPr>
          <w:p>
            <w:pPr>
              <w:keepNext/>
              <w:spacing w:after="0"/>
              <w:jc w:val="center"/>
            </w:pPr>
            <w:r/>
            <w:r>
              <w:rPr>
                <w:rFonts w:ascii="Times New Roman" w:hAnsi="Times New Roman"/>
                <w:b w:val="0"/>
                <w:i w:val="0"/>
                <w:sz w:val="14"/>
              </w:rPr>
              <w:t>×9.5</w:t>
            </w:r>
          </w:p>
        </w:tc>
        <w:tc>
          <w:tcPr>
            <w:tcW w:type="dxa" w:w="720"/>
          </w:tcPr>
          <w:p>
            <w:pPr>
              <w:keepNext/>
              <w:spacing w:after="0"/>
              <w:jc w:val="center"/>
            </w:pPr>
            <w:r/>
            <w:r>
              <w:rPr>
                <w:rFonts w:ascii="Times New Roman" w:hAnsi="Times New Roman"/>
                <w:b w:val="0"/>
                <w:i w:val="0"/>
                <w:sz w:val="14"/>
              </w:rPr>
              <w:t>0.18</w:t>
            </w:r>
          </w:p>
        </w:tc>
        <w:tc>
          <w:tcPr>
            <w:tcW w:type="dxa" w:w="792"/>
          </w:tcPr>
          <w:p>
            <w:pPr>
              <w:keepNext/>
              <w:spacing w:after="0"/>
              <w:jc w:val="center"/>
            </w:pPr>
            <w:r/>
            <w:r>
              <w:rPr>
                <w:rFonts w:ascii="Times New Roman" w:hAnsi="Times New Roman"/>
                <w:b w:val="0"/>
                <w:i w:val="0"/>
                <w:sz w:val="14"/>
              </w:rPr>
              <w:t>×10.6</w:t>
            </w:r>
          </w:p>
        </w:tc>
        <w:tc>
          <w:tcPr>
            <w:tcW w:type="dxa" w:w="720"/>
          </w:tcPr>
          <w:p>
            <w:pPr>
              <w:keepNext/>
              <w:spacing w:after="0"/>
              <w:jc w:val="center"/>
            </w:pPr>
            <w:r/>
            <w:r>
              <w:rPr>
                <w:rFonts w:ascii="Times New Roman" w:hAnsi="Times New Roman"/>
                <w:b w:val="0"/>
                <w:i w:val="0"/>
                <w:sz w:val="14"/>
              </w:rPr>
              <w:t>0.33</w:t>
            </w:r>
          </w:p>
        </w:tc>
        <w:tc>
          <w:tcPr>
            <w:tcW w:type="dxa" w:w="864"/>
          </w:tcPr>
          <w:p>
            <w:pPr>
              <w:keepNext/>
              <w:spacing w:after="0"/>
              <w:jc w:val="center"/>
            </w:pPr>
            <w:r/>
            <w:r>
              <w:rPr>
                <w:rFonts w:ascii="Times New Roman" w:hAnsi="Times New Roman"/>
                <w:b w:val="0"/>
                <w:i w:val="0"/>
                <w:sz w:val="14"/>
              </w:rPr>
              <w:t>−0.85</w:t>
            </w:r>
          </w:p>
        </w:tc>
      </w:tr>
      <w:tr>
        <w:trPr>
          <w:cantSplit/>
        </w:trPr>
        <w:tc>
          <w:tcPr>
            <w:tcW w:type="dxa" w:w="648"/>
          </w:tcPr>
          <w:p>
            <w:pPr>
              <w:keepNext/>
              <w:spacing w:after="0"/>
              <w:jc w:val="left"/>
            </w:pPr>
            <w:r/>
            <w:r>
              <w:rPr>
                <w:rFonts w:ascii="Times New Roman" w:hAnsi="Times New Roman"/>
                <w:b w:val="0"/>
                <w:i w:val="0"/>
                <w:sz w:val="14"/>
              </w:rPr>
              <w:t>H04</w:t>
            </w:r>
          </w:p>
        </w:tc>
        <w:tc>
          <w:tcPr>
            <w:tcW w:type="dxa" w:w="432"/>
          </w:tcPr>
          <w:p>
            <w:pPr>
              <w:keepNext/>
              <w:spacing w:after="0"/>
              <w:jc w:val="center"/>
            </w:pPr>
            <w:r/>
            <w:r>
              <w:rPr>
                <w:rFonts w:ascii="Times New Roman" w:hAnsi="Times New Roman"/>
                <w:b w:val="0"/>
                <w:i w:val="0"/>
                <w:sz w:val="14"/>
              </w:rPr>
              <w:t>18</w:t>
            </w:r>
          </w:p>
        </w:tc>
        <w:tc>
          <w:tcPr>
            <w:tcW w:type="dxa" w:w="792"/>
          </w:tcPr>
          <w:p>
            <w:pPr>
              <w:keepNext/>
              <w:spacing w:after="0"/>
              <w:jc w:val="center"/>
            </w:pPr>
            <w:r/>
            <w:r>
              <w:rPr>
                <w:rFonts w:ascii="Times New Roman" w:hAnsi="Times New Roman"/>
                <w:b w:val="0"/>
                <w:i w:val="0"/>
                <w:sz w:val="14"/>
              </w:rPr>
              <w:t>×8.0</w:t>
            </w:r>
          </w:p>
        </w:tc>
        <w:tc>
          <w:tcPr>
            <w:tcW w:type="dxa" w:w="720"/>
          </w:tcPr>
          <w:p>
            <w:pPr>
              <w:keepNext/>
              <w:spacing w:after="0"/>
              <w:jc w:val="center"/>
            </w:pPr>
            <w:r/>
            <w:r>
              <w:rPr>
                <w:rFonts w:ascii="Times New Roman" w:hAnsi="Times New Roman"/>
                <w:b w:val="0"/>
                <w:i w:val="0"/>
                <w:sz w:val="14"/>
              </w:rPr>
              <w:t>−0.20</w:t>
            </w:r>
          </w:p>
        </w:tc>
        <w:tc>
          <w:tcPr>
            <w:tcW w:type="dxa" w:w="792"/>
          </w:tcPr>
          <w:p>
            <w:pPr>
              <w:keepNext/>
              <w:spacing w:after="0"/>
              <w:jc w:val="center"/>
            </w:pPr>
            <w:r/>
            <w:r>
              <w:rPr>
                <w:rFonts w:ascii="Times New Roman" w:hAnsi="Times New Roman"/>
                <w:b w:val="0"/>
                <w:i w:val="0"/>
                <w:sz w:val="14"/>
              </w:rPr>
              <w:t>×6.2</w:t>
            </w:r>
          </w:p>
        </w:tc>
        <w:tc>
          <w:tcPr>
            <w:tcW w:type="dxa" w:w="720"/>
          </w:tcPr>
          <w:p>
            <w:pPr>
              <w:keepNext/>
              <w:spacing w:after="0"/>
              <w:jc w:val="center"/>
            </w:pPr>
            <w:r/>
            <w:r>
              <w:rPr>
                <w:rFonts w:ascii="Times New Roman" w:hAnsi="Times New Roman"/>
                <w:b w:val="0"/>
                <w:i w:val="0"/>
                <w:sz w:val="14"/>
              </w:rPr>
              <w:t>−0.20</w:t>
            </w:r>
          </w:p>
        </w:tc>
        <w:tc>
          <w:tcPr>
            <w:tcW w:type="dxa" w:w="864"/>
          </w:tcPr>
          <w:p>
            <w:pPr>
              <w:keepNext/>
              <w:spacing w:after="0"/>
              <w:jc w:val="center"/>
            </w:pPr>
            <w:r/>
            <w:r>
              <w:rPr>
                <w:rFonts w:ascii="Times New Roman" w:hAnsi="Times New Roman"/>
                <w:b w:val="0"/>
                <w:i w:val="0"/>
                <w:sz w:val="14"/>
              </w:rPr>
              <w:t>−0.64</w:t>
            </w:r>
          </w:p>
        </w:tc>
      </w:tr>
      <w:tr>
        <w:trPr>
          <w:cantSplit/>
        </w:trPr>
        <w:tc>
          <w:tcPr>
            <w:tcW w:type="dxa" w:w="648"/>
          </w:tcPr>
          <w:p>
            <w:pPr>
              <w:keepNext/>
              <w:spacing w:after="0"/>
              <w:jc w:val="left"/>
            </w:pPr>
            <w:r/>
            <w:r>
              <w:rPr>
                <w:rFonts w:ascii="Times New Roman" w:hAnsi="Times New Roman"/>
                <w:b w:val="0"/>
                <w:i w:val="0"/>
                <w:sz w:val="14"/>
              </w:rPr>
              <w:t>H05</w:t>
            </w:r>
          </w:p>
        </w:tc>
        <w:tc>
          <w:tcPr>
            <w:tcW w:type="dxa" w:w="432"/>
          </w:tcPr>
          <w:p>
            <w:pPr>
              <w:keepNext/>
              <w:spacing w:after="0"/>
              <w:jc w:val="center"/>
            </w:pPr>
            <w:r/>
            <w:r>
              <w:rPr>
                <w:rFonts w:ascii="Times New Roman" w:hAnsi="Times New Roman"/>
                <w:b w:val="0"/>
                <w:i w:val="0"/>
                <w:sz w:val="14"/>
              </w:rPr>
              <w:t>27</w:t>
            </w:r>
          </w:p>
        </w:tc>
        <w:tc>
          <w:tcPr>
            <w:tcW w:type="dxa" w:w="792"/>
          </w:tcPr>
          <w:p>
            <w:pPr>
              <w:keepNext/>
              <w:spacing w:after="0"/>
              <w:jc w:val="center"/>
            </w:pPr>
            <w:r/>
            <w:r>
              <w:rPr>
                <w:rFonts w:ascii="Times New Roman" w:hAnsi="Times New Roman"/>
                <w:b w:val="0"/>
                <w:i w:val="0"/>
                <w:sz w:val="14"/>
              </w:rPr>
              <w:t>×4.8</w:t>
            </w:r>
          </w:p>
        </w:tc>
        <w:tc>
          <w:tcPr>
            <w:tcW w:type="dxa" w:w="720"/>
          </w:tcPr>
          <w:p>
            <w:pPr>
              <w:keepNext/>
              <w:spacing w:after="0"/>
              <w:jc w:val="center"/>
            </w:pPr>
            <w:r/>
            <w:r>
              <w:rPr>
                <w:rFonts w:ascii="Times New Roman" w:hAnsi="Times New Roman"/>
                <w:b w:val="0"/>
                <w:i w:val="0"/>
                <w:sz w:val="14"/>
              </w:rPr>
              <w:t>0.15</w:t>
            </w:r>
          </w:p>
        </w:tc>
        <w:tc>
          <w:tcPr>
            <w:tcW w:type="dxa" w:w="792"/>
          </w:tcPr>
          <w:p>
            <w:pPr>
              <w:keepNext/>
              <w:spacing w:after="0"/>
              <w:jc w:val="center"/>
            </w:pPr>
            <w:r/>
            <w:r>
              <w:rPr>
                <w:rFonts w:ascii="Times New Roman" w:hAnsi="Times New Roman"/>
                <w:b w:val="0"/>
                <w:i w:val="0"/>
                <w:sz w:val="14"/>
              </w:rPr>
              <w:t>×3.6</w:t>
            </w:r>
          </w:p>
        </w:tc>
        <w:tc>
          <w:tcPr>
            <w:tcW w:type="dxa" w:w="720"/>
          </w:tcPr>
          <w:p>
            <w:pPr>
              <w:keepNext/>
              <w:spacing w:after="0"/>
              <w:jc w:val="center"/>
            </w:pPr>
            <w:r/>
            <w:r>
              <w:rPr>
                <w:rFonts w:ascii="Times New Roman" w:hAnsi="Times New Roman"/>
                <w:b w:val="0"/>
                <w:i w:val="0"/>
                <w:sz w:val="14"/>
              </w:rPr>
              <w:t>−0.23</w:t>
            </w:r>
          </w:p>
        </w:tc>
        <w:tc>
          <w:tcPr>
            <w:tcW w:type="dxa" w:w="864"/>
          </w:tcPr>
          <w:p>
            <w:pPr>
              <w:keepNext/>
              <w:spacing w:after="0"/>
              <w:jc w:val="center"/>
            </w:pPr>
            <w:r/>
            <w:r>
              <w:rPr>
                <w:rFonts w:ascii="Times New Roman" w:hAnsi="Times New Roman"/>
                <w:b w:val="0"/>
                <w:i w:val="0"/>
                <w:sz w:val="14"/>
              </w:rPr>
              <w:t>0.03</w:t>
            </w:r>
          </w:p>
        </w:tc>
      </w:tr>
      <w:tr>
        <w:trPr>
          <w:cantSplit/>
        </w:trPr>
        <w:tc>
          <w:tcPr>
            <w:tcW w:type="dxa" w:w="648"/>
          </w:tcPr>
          <w:p>
            <w:pPr>
              <w:keepNext/>
              <w:spacing w:after="0"/>
              <w:jc w:val="left"/>
            </w:pPr>
            <w:r/>
            <w:r>
              <w:rPr>
                <w:rFonts w:ascii="Times New Roman" w:hAnsi="Times New Roman"/>
                <w:b w:val="0"/>
                <w:i w:val="0"/>
                <w:sz w:val="14"/>
              </w:rPr>
              <w:t>H17</w:t>
            </w:r>
          </w:p>
        </w:tc>
        <w:tc>
          <w:tcPr>
            <w:tcW w:type="dxa" w:w="432"/>
          </w:tcPr>
          <w:p>
            <w:pPr>
              <w:keepNext/>
              <w:spacing w:after="0"/>
              <w:jc w:val="center"/>
            </w:pPr>
            <w:r/>
            <w:r>
              <w:rPr>
                <w:rFonts w:ascii="Times New Roman" w:hAnsi="Times New Roman"/>
                <w:b w:val="0"/>
                <w:i w:val="0"/>
                <w:sz w:val="14"/>
              </w:rPr>
              <w:t>9</w:t>
            </w:r>
          </w:p>
        </w:tc>
        <w:tc>
          <w:tcPr>
            <w:tcW w:type="dxa" w:w="792"/>
          </w:tcPr>
          <w:p>
            <w:pPr>
              <w:keepNext/>
              <w:spacing w:after="0"/>
              <w:jc w:val="center"/>
            </w:pPr>
            <w:r/>
            <w:r>
              <w:rPr>
                <w:rFonts w:ascii="Times New Roman" w:hAnsi="Times New Roman"/>
                <w:b w:val="0"/>
                <w:i w:val="0"/>
                <w:sz w:val="14"/>
              </w:rPr>
              <w:t>×4.5</w:t>
            </w:r>
          </w:p>
        </w:tc>
        <w:tc>
          <w:tcPr>
            <w:tcW w:type="dxa" w:w="720"/>
          </w:tcPr>
          <w:p>
            <w:pPr>
              <w:keepNext/>
              <w:spacing w:after="0"/>
              <w:jc w:val="center"/>
            </w:pPr>
            <w:r/>
            <w:r>
              <w:rPr>
                <w:rFonts w:ascii="Times New Roman" w:hAnsi="Times New Roman"/>
                <w:b w:val="0"/>
                <w:i w:val="0"/>
                <w:sz w:val="14"/>
              </w:rPr>
              <w:t>0.12</w:t>
            </w:r>
          </w:p>
        </w:tc>
        <w:tc>
          <w:tcPr>
            <w:tcW w:type="dxa" w:w="792"/>
          </w:tcPr>
          <w:p>
            <w:pPr>
              <w:keepNext/>
              <w:spacing w:after="0"/>
              <w:jc w:val="center"/>
            </w:pPr>
            <w:r/>
            <w:r>
              <w:rPr>
                <w:rFonts w:ascii="Times New Roman" w:hAnsi="Times New Roman"/>
                <w:b w:val="0"/>
                <w:i w:val="0"/>
                <w:sz w:val="14"/>
              </w:rPr>
              <w:t>×1.8</w:t>
            </w:r>
          </w:p>
        </w:tc>
        <w:tc>
          <w:tcPr>
            <w:tcW w:type="dxa" w:w="720"/>
          </w:tcPr>
          <w:p>
            <w:pPr>
              <w:keepNext/>
              <w:spacing w:after="0"/>
              <w:jc w:val="center"/>
            </w:pPr>
            <w:r/>
            <w:r>
              <w:rPr>
                <w:rFonts w:ascii="Times New Roman" w:hAnsi="Times New Roman"/>
                <w:b w:val="0"/>
                <w:i w:val="0"/>
                <w:sz w:val="14"/>
              </w:rPr>
              <w:t>0.42</w:t>
            </w:r>
          </w:p>
        </w:tc>
        <w:tc>
          <w:tcPr>
            <w:tcW w:type="dxa" w:w="864"/>
          </w:tcPr>
          <w:p>
            <w:pPr>
              <w:keepNext/>
              <w:spacing w:after="0"/>
              <w:jc w:val="center"/>
            </w:pPr>
            <w:r/>
            <w:r>
              <w:rPr>
                <w:rFonts w:ascii="Times New Roman" w:hAnsi="Times New Roman"/>
                <w:b w:val="0"/>
                <w:i w:val="0"/>
                <w:sz w:val="14"/>
              </w:rPr>
              <w:t>−0.07</w:t>
            </w:r>
          </w:p>
        </w:tc>
      </w:tr>
      <w:tr>
        <w:trPr>
          <w:cantSplit/>
        </w:trPr>
        <w:tc>
          <w:tcPr>
            <w:tcW w:type="dxa" w:w="648"/>
          </w:tcPr>
          <w:p>
            <w:pPr>
              <w:keepNext/>
              <w:spacing w:after="0"/>
              <w:jc w:val="left"/>
            </w:pPr>
            <w:r/>
            <w:r>
              <w:rPr>
                <w:rFonts w:ascii="Times New Roman" w:hAnsi="Times New Roman"/>
                <w:b w:val="0"/>
                <w:i w:val="0"/>
                <w:sz w:val="14"/>
              </w:rPr>
              <w:t>H18</w:t>
            </w:r>
          </w:p>
        </w:tc>
        <w:tc>
          <w:tcPr>
            <w:tcW w:type="dxa" w:w="432"/>
          </w:tcPr>
          <w:p>
            <w:pPr>
              <w:keepNext/>
              <w:spacing w:after="0"/>
              <w:jc w:val="center"/>
            </w:pPr>
            <w:r/>
            <w:r>
              <w:rPr>
                <w:rFonts w:ascii="Times New Roman" w:hAnsi="Times New Roman"/>
                <w:b w:val="0"/>
                <w:i w:val="0"/>
                <w:sz w:val="14"/>
              </w:rPr>
              <w:t>9</w:t>
            </w:r>
          </w:p>
        </w:tc>
        <w:tc>
          <w:tcPr>
            <w:tcW w:type="dxa" w:w="792"/>
          </w:tcPr>
          <w:p>
            <w:pPr>
              <w:keepNext/>
              <w:spacing w:after="0"/>
              <w:jc w:val="center"/>
            </w:pPr>
            <w:r/>
            <w:r>
              <w:rPr>
                <w:rFonts w:ascii="Times New Roman" w:hAnsi="Times New Roman"/>
                <w:b w:val="0"/>
                <w:i w:val="0"/>
                <w:sz w:val="14"/>
              </w:rPr>
              <w:t>×2.5</w:t>
            </w:r>
          </w:p>
        </w:tc>
        <w:tc>
          <w:tcPr>
            <w:tcW w:type="dxa" w:w="720"/>
          </w:tcPr>
          <w:p>
            <w:pPr>
              <w:keepNext/>
              <w:spacing w:after="0"/>
              <w:jc w:val="center"/>
            </w:pPr>
            <w:r/>
            <w:r>
              <w:rPr>
                <w:rFonts w:ascii="Times New Roman" w:hAnsi="Times New Roman"/>
                <w:b w:val="0"/>
                <w:i w:val="0"/>
                <w:sz w:val="14"/>
              </w:rPr>
              <w:t>−0.12</w:t>
            </w:r>
          </w:p>
        </w:tc>
        <w:tc>
          <w:tcPr>
            <w:tcW w:type="dxa" w:w="792"/>
          </w:tcPr>
          <w:p>
            <w:pPr>
              <w:keepNext/>
              <w:spacing w:after="0"/>
              <w:jc w:val="center"/>
            </w:pPr>
            <w:r/>
            <w:r>
              <w:rPr>
                <w:rFonts w:ascii="Times New Roman" w:hAnsi="Times New Roman"/>
                <w:b w:val="0"/>
                <w:i w:val="0"/>
                <w:sz w:val="14"/>
              </w:rPr>
              <w:t>×2.3</w:t>
            </w:r>
          </w:p>
        </w:tc>
        <w:tc>
          <w:tcPr>
            <w:tcW w:type="dxa" w:w="720"/>
          </w:tcPr>
          <w:p>
            <w:pPr>
              <w:keepNext/>
              <w:spacing w:after="0"/>
              <w:jc w:val="center"/>
            </w:pPr>
            <w:r/>
            <w:r>
              <w:rPr>
                <w:rFonts w:ascii="Times New Roman" w:hAnsi="Times New Roman"/>
                <w:b w:val="0"/>
                <w:i w:val="0"/>
                <w:sz w:val="14"/>
              </w:rPr>
              <w:t>−0.12</w:t>
            </w:r>
          </w:p>
        </w:tc>
        <w:tc>
          <w:tcPr>
            <w:tcW w:type="dxa" w:w="864"/>
          </w:tcPr>
          <w:p>
            <w:pPr>
              <w:keepNext/>
              <w:spacing w:after="0"/>
              <w:jc w:val="center"/>
            </w:pPr>
            <w:r/>
            <w:r>
              <w:rPr>
                <w:rFonts w:ascii="Times New Roman" w:hAnsi="Times New Roman"/>
                <w:b w:val="0"/>
                <w:i w:val="0"/>
                <w:sz w:val="14"/>
              </w:rPr>
              <w:t>−0.10</w:t>
            </w:r>
          </w:p>
        </w:tc>
      </w:tr>
    </w:tbl>
    <w:p>
      <w:pPr>
        <w:keepNext w:val="0"/>
        <w:spacing w:after="120" w:before="0"/>
        <w:jc w:val="left"/>
      </w:pPr>
      <w:r>
        <w:rPr>
          <w:rFonts w:ascii="Times New Roman" w:hAnsi="Times New Roman"/>
          <w:b w:val="0"/>
          <w:i w:val="0"/>
          <w:sz w:val="14"/>
        </w:rPr>
        <w:t>Bias: mean of predicted minus observed log10(TWR); +1 means ten times too high.</w:t>
      </w:r>
    </w:p>
    <w:p>
      <w:pPr>
        <w:keepNext w:val="0"/>
        <w:spacing w:after="40" w:before="0"/>
        <w:ind w:firstLine="202"/>
        <w:jc w:val="both"/>
      </w:pPr>
      <w:r>
        <w:rPr>
          <w:rFonts w:ascii="Times New Roman" w:hAnsi="Times New Roman"/>
          <w:b w:val="0"/>
          <w:i w:val="0"/>
          <w:sz w:val="20"/>
        </w:rPr>
        <w:t>Table V breaks the LOPO errors of ridge regression down by study. Most of the error is a shift of the whole study: the mean bias of each held-out study accounts for 55% (base inputs) and 62% (physics features) of the squared LOPO error of ridge, and for 51–66% for the nonlinear models. With physics features the bias ranged from −0.85 (P21, predicted about 7 times too low) to +1.38 (P06, about 24 times too high). The three worst studies (P06 ×23.8, P13 ×12.8, P21 ×10.6) are the one with unique electrode alloys, the one with a powder-mixed dielectric and shaped tools, and the one whose TWR is derived from EWR%. For other studies the transfer was good: P10, P12 and H17 were predicted within a factor of two.</w:t>
      </w:r>
    </w:p>
    <w:p>
      <w:pPr>
        <w:keepNext/>
        <w:spacing w:after="40" w:before="80"/>
        <w:jc w:val="left"/>
      </w:pPr>
      <w:r>
        <w:rPr>
          <w:rFonts w:ascii="Times New Roman" w:hAnsi="Times New Roman"/>
          <w:b w:val="0"/>
          <w:i/>
          <w:sz w:val="20"/>
        </w:rPr>
        <w:t>C. Ordering the Runs of an Unseen Study</w:t>
      </w:r>
    </w:p>
    <w:p>
      <w:pPr>
        <w:keepNext w:val="0"/>
        <w:spacing w:after="40" w:before="0"/>
        <w:ind w:firstLine="202"/>
        <w:jc w:val="both"/>
      </w:pPr>
      <w:r>
        <w:rPr>
          <w:rFonts w:ascii="Times New Roman" w:hAnsi="Times New Roman"/>
          <w:b w:val="0"/>
          <w:i w:val="0"/>
          <w:sz w:val="20"/>
        </w:rPr>
        <w:t>The preliminary six-study analysis found that LOPO predictions still ordered the runs of an unseen study moderately well (median ρ up to 0.67); rerun on those six studies here, the median ρ of the nonlinear models reaches 0.62 (Section IV-E). With 10 studies this no longer holds: the median ρ of the nonlinear models lies between −0.17 and 0.17 (Table IV). Yet an ordering signal is present in the data. Within studies, the Spearman correlation between TWR and peak current is positive in eight of the 10 studies (median 0.55), whereas the correlation with pulse-on time changes sign between studies (−0.55 to 0.31; median −0.02), as expected from the dependence of the pulse-on effect on polarity and electrode material [2]. The absolute models spend their capacity on the between-study differences in level and lose the one trend that is shared.</w:t>
      </w:r>
    </w:p>
    <w:p>
      <w:pPr>
        <w:keepNext w:val="0"/>
        <w:spacing w:after="40" w:before="0"/>
        <w:ind w:firstLine="202"/>
        <w:jc w:val="both"/>
      </w:pPr>
      <w:r>
        <w:rPr>
          <w:rFonts w:ascii="Times New Roman" w:hAnsi="Times New Roman"/>
          <w:b w:val="0"/>
          <w:i w:val="0"/>
          <w:sz w:val="20"/>
        </w:rPr>
        <w:t>The within-study models recover it (Fig. 4). Ridge regression fitted to within-study variation reached a median ρ of 0.57 (base inputs) and 0.58 (physics features), and peak current alone 0.55, against 0.17 for ridge on absolute values. SVR fitted within studies also ordered the runs well (0.60), whereas RF (0.32) and the monotone XGBoost (0.36) did not. In two studies every within-study model, and the absolute ridge model, got the order wrong: in H04 and H18 the measured wear falls as peak current rises (ρ = −0.14 and −0.32), contrary to the other eight studies.</w:t>
      </w:r>
    </w:p>
    <w:p>
      <w:pPr>
        <w:keepNext/>
        <w:jc w:val="center"/>
      </w:pPr>
      <w:r>
        <w:drawing>
          <wp:inline xmlns:a="http://schemas.openxmlformats.org/drawingml/2006/main" xmlns:pic="http://schemas.openxmlformats.org/drawingml/2006/picture">
            <wp:extent cx="3063240" cy="2900535"/>
            <wp:docPr id="4" name="Picture 4"/>
            <wp:cNvGraphicFramePr>
              <a:graphicFrameLocks noChangeAspect="1"/>
            </wp:cNvGraphicFramePr>
            <a:graphic>
              <a:graphicData uri="http://schemas.openxmlformats.org/drawingml/2006/picture">
                <pic:pic>
                  <pic:nvPicPr>
                    <pic:cNvPr id="0" name="fig4_rank.png"/>
                    <pic:cNvPicPr/>
                  </pic:nvPicPr>
                  <pic:blipFill>
                    <a:blip r:embed="rId12"/>
                    <a:stretch>
                      <a:fillRect/>
                    </a:stretch>
                  </pic:blipFill>
                  <pic:spPr>
                    <a:xfrm>
                      <a:off x="0" y="0"/>
                      <a:ext cx="3063240" cy="2900535"/>
                    </a:xfrm>
                    <a:prstGeom prst="rect"/>
                  </pic:spPr>
                </pic:pic>
              </a:graphicData>
            </a:graphic>
          </wp:inline>
        </w:drawing>
      </w:r>
    </w:p>
    <w:p>
      <w:pPr>
        <w:keepNext w:val="0"/>
        <w:spacing w:after="120" w:before="0"/>
        <w:jc w:val="both"/>
      </w:pPr>
      <w:r>
        <w:rPr>
          <w:rFonts w:ascii="Times New Roman" w:hAnsi="Times New Roman"/>
          <w:b w:val="0"/>
          <w:i w:val="0"/>
          <w:sz w:val="16"/>
        </w:rPr>
        <w:t>Fig. 4. Spearman ρ between observed and predicted TWR inside each held-out study, for ridge trained on absolute values, ridge fitted to within-study variation, and a within-study model of peak current alone.</w:t>
      </w:r>
    </w:p>
    <w:p>
      <w:pPr>
        <w:keepNext/>
        <w:spacing w:after="40" w:before="80"/>
        <w:jc w:val="left"/>
      </w:pPr>
      <w:r>
        <w:rPr>
          <w:rFonts w:ascii="Times New Roman" w:hAnsi="Times New Roman"/>
          <w:b w:val="0"/>
          <w:i/>
          <w:sz w:val="20"/>
        </w:rPr>
        <w:t>D. Few-Run Calibration</w:t>
      </w:r>
    </w:p>
    <w:p>
      <w:pPr>
        <w:keepNext/>
        <w:spacing w:after="0" w:before="0"/>
        <w:jc w:val="center"/>
      </w:pPr>
      <w:r>
        <w:rPr>
          <w:rFonts w:ascii="Times New Roman" w:hAnsi="Times New Roman"/>
          <w:b w:val="0"/>
          <w:i w:val="0"/>
          <w:sz w:val="16"/>
        </w:rPr>
        <w:t>TABLE VI</w:t>
      </w:r>
    </w:p>
    <w:p>
      <w:pPr>
        <w:keepNext/>
        <w:spacing w:after="40" w:before="0"/>
        <w:jc w:val="center"/>
      </w:pPr>
      <w:r>
        <w:rPr>
          <w:rFonts w:ascii="Times New Roman" w:hAnsi="Times New Roman"/>
          <w:b w:val="0"/>
          <w:i w:val="0"/>
          <w:sz w:val="14"/>
        </w:rPr>
        <w:t>PREDICTION IN A NEW STUDY FROM K CALIBRATION RUNS</w:t>
      </w:r>
    </w:p>
    <w:tbl>
      <w:tblPr>
        <w:tblW w:type="dxa" w:w="4968"/>
        <w:jc w:val="center"/>
        <w:tblLayout w:type="fixed"/>
        <w:tblLook w:firstColumn="1" w:firstRow="1" w:lastColumn="0" w:lastRow="0" w:noHBand="0" w:noVBand="1" w:val="04A0"/>
        <w:tblCellMar>
          <w:left w:w="43" w:type="dxa"/>
          <w:right w:w="43" w:type="dxa"/>
        </w:tblCellMar>
        <w:tblBorders>
          <w:top w:val="single" w:sz="6"/>
          <w:left w:val="nil"/>
          <w:bottom w:val="single" w:sz="6"/>
          <w:right w:val="nil"/>
          <w:insideH w:val="nil"/>
          <w:insideV w:val="nil"/>
        </w:tblBorders>
      </w:tblPr>
      <w:tblGrid>
        <w:gridCol w:w="1944"/>
        <w:gridCol w:w="503"/>
        <w:gridCol w:w="619"/>
        <w:gridCol w:w="619"/>
        <w:gridCol w:w="619"/>
        <w:gridCol w:w="662"/>
      </w:tblGrid>
      <w:tr>
        <w:trPr>
          <w:cantSplit/>
        </w:trPr>
        <w:tc>
          <w:tcPr>
            <w:tcW w:type="dxa" w:w="1944"/>
            <w:tcBorders>
              <w:bottom w:val="single" w:sz="4"/>
            </w:tcBorders>
          </w:tcPr>
          <w:p>
            <w:pPr>
              <w:keepNext/>
              <w:spacing w:after="0"/>
              <w:jc w:val="left"/>
            </w:pPr>
            <w:r/>
            <w:r>
              <w:rPr>
                <w:rFonts w:ascii="Times New Roman" w:hAnsi="Times New Roman"/>
                <w:b/>
                <w:i w:val="0"/>
                <w:sz w:val="14"/>
              </w:rPr>
              <w:t>Approach</w:t>
            </w:r>
          </w:p>
        </w:tc>
        <w:tc>
          <w:tcPr>
            <w:tcW w:type="dxa" w:w="504"/>
            <w:tcBorders>
              <w:bottom w:val="single" w:sz="4"/>
            </w:tcBorders>
          </w:tcPr>
          <w:p>
            <w:pPr>
              <w:keepNext/>
              <w:spacing w:after="0"/>
              <w:jc w:val="center"/>
            </w:pPr>
            <w:r/>
            <w:r>
              <w:rPr>
                <w:rFonts w:ascii="Times New Roman" w:hAnsi="Times New Roman"/>
                <w:b/>
                <w:i w:val="0"/>
                <w:sz w:val="14"/>
              </w:rPr>
              <w:t>ρ</w:t>
            </w:r>
          </w:p>
        </w:tc>
        <w:tc>
          <w:tcPr>
            <w:tcW w:type="dxa" w:w="619"/>
            <w:tcBorders>
              <w:bottom w:val="single" w:sz="4"/>
            </w:tcBorders>
          </w:tcPr>
          <w:p>
            <w:pPr>
              <w:keepNext/>
              <w:spacing w:after="0"/>
              <w:jc w:val="center"/>
            </w:pPr>
            <w:r/>
            <w:r>
              <w:rPr>
                <w:rFonts w:ascii="Times New Roman" w:hAnsi="Times New Roman"/>
                <w:b/>
                <w:i w:val="0"/>
                <w:sz w:val="14"/>
              </w:rPr>
              <w:t>k = 1</w:t>
            </w:r>
          </w:p>
        </w:tc>
        <w:tc>
          <w:tcPr>
            <w:tcW w:type="dxa" w:w="619"/>
            <w:tcBorders>
              <w:bottom w:val="single" w:sz="4"/>
            </w:tcBorders>
          </w:tcPr>
          <w:p>
            <w:pPr>
              <w:keepNext/>
              <w:spacing w:after="0"/>
              <w:jc w:val="center"/>
            </w:pPr>
            <w:r/>
            <w:r>
              <w:rPr>
                <w:rFonts w:ascii="Times New Roman" w:hAnsi="Times New Roman"/>
                <w:b/>
                <w:i w:val="0"/>
                <w:sz w:val="14"/>
              </w:rPr>
              <w:t>k = 3</w:t>
            </w:r>
          </w:p>
        </w:tc>
        <w:tc>
          <w:tcPr>
            <w:tcW w:type="dxa" w:w="619"/>
            <w:tcBorders>
              <w:bottom w:val="single" w:sz="4"/>
            </w:tcBorders>
          </w:tcPr>
          <w:p>
            <w:pPr>
              <w:keepNext/>
              <w:spacing w:after="0"/>
              <w:jc w:val="center"/>
            </w:pPr>
            <w:r/>
            <w:r>
              <w:rPr>
                <w:rFonts w:ascii="Times New Roman" w:hAnsi="Times New Roman"/>
                <w:b/>
                <w:i w:val="0"/>
                <w:sz w:val="14"/>
              </w:rPr>
              <w:t>k = 5</w:t>
            </w:r>
          </w:p>
        </w:tc>
        <w:tc>
          <w:tcPr>
            <w:tcW w:type="dxa" w:w="662"/>
            <w:tcBorders>
              <w:bottom w:val="single" w:sz="4"/>
            </w:tcBorders>
          </w:tcPr>
          <w:p>
            <w:pPr>
              <w:keepNext/>
              <w:spacing w:after="0"/>
              <w:jc w:val="center"/>
            </w:pPr>
            <w:r/>
            <w:r>
              <w:rPr>
                <w:rFonts w:ascii="Times New Roman" w:hAnsi="Times New Roman"/>
                <w:b/>
                <w:i w:val="0"/>
                <w:sz w:val="14"/>
              </w:rPr>
              <w:t>Gain (k=3)</w:t>
            </w:r>
          </w:p>
        </w:tc>
      </w:tr>
      <w:tr>
        <w:trPr>
          <w:cantSplit/>
        </w:trPr>
        <w:tc>
          <w:tcPr>
            <w:tcW w:type="dxa" w:w="1944"/>
          </w:tcPr>
          <w:p>
            <w:pPr>
              <w:keepNext/>
              <w:spacing w:after="0"/>
              <w:jc w:val="left"/>
            </w:pPr>
            <w:r/>
            <w:r>
              <w:rPr>
                <w:rFonts w:ascii="Times New Roman" w:hAnsi="Times New Roman"/>
                <w:b w:val="0"/>
                <w:i w:val="0"/>
                <w:sz w:val="14"/>
              </w:rPr>
              <w:t>Mean of the k runs (no model)</w:t>
            </w:r>
          </w:p>
        </w:tc>
        <w:tc>
          <w:tcPr>
            <w:tcW w:type="dxa" w:w="504"/>
          </w:tcPr>
          <w:p>
            <w:pPr>
              <w:keepNext/>
              <w:spacing w:after="0"/>
              <w:jc w:val="center"/>
            </w:pPr>
            <w:r/>
            <w:r>
              <w:rPr>
                <w:rFonts w:ascii="Times New Roman" w:hAnsi="Times New Roman"/>
                <w:b w:val="0"/>
                <w:i w:val="0"/>
                <w:sz w:val="14"/>
              </w:rPr>
              <w:t>–</w:t>
            </w:r>
          </w:p>
        </w:tc>
        <w:tc>
          <w:tcPr>
            <w:tcW w:type="dxa" w:w="619"/>
          </w:tcPr>
          <w:p>
            <w:pPr>
              <w:keepNext/>
              <w:spacing w:after="0"/>
              <w:jc w:val="center"/>
            </w:pPr>
            <w:r/>
            <w:r>
              <w:rPr>
                <w:rFonts w:ascii="Times New Roman" w:hAnsi="Times New Roman"/>
                <w:b w:val="0"/>
                <w:i w:val="0"/>
                <w:sz w:val="14"/>
              </w:rPr>
              <w:t>×3.31</w:t>
            </w:r>
          </w:p>
        </w:tc>
        <w:tc>
          <w:tcPr>
            <w:tcW w:type="dxa" w:w="619"/>
          </w:tcPr>
          <w:p>
            <w:pPr>
              <w:keepNext/>
              <w:spacing w:after="0"/>
              <w:jc w:val="center"/>
            </w:pPr>
            <w:r/>
            <w:r>
              <w:rPr>
                <w:rFonts w:ascii="Times New Roman" w:hAnsi="Times New Roman"/>
                <w:b w:val="0"/>
                <w:i w:val="0"/>
                <w:sz w:val="14"/>
              </w:rPr>
              <w:t>×2.72</w:t>
            </w:r>
          </w:p>
        </w:tc>
        <w:tc>
          <w:tcPr>
            <w:tcW w:type="dxa" w:w="619"/>
          </w:tcPr>
          <w:p>
            <w:pPr>
              <w:keepNext/>
              <w:spacing w:after="0"/>
              <w:jc w:val="center"/>
            </w:pPr>
            <w:r/>
            <w:r>
              <w:rPr>
                <w:rFonts w:ascii="Times New Roman" w:hAnsi="Times New Roman"/>
                <w:b w:val="0"/>
                <w:i w:val="0"/>
                <w:sz w:val="14"/>
              </w:rPr>
              <w:t>×2.59</w:t>
            </w:r>
          </w:p>
        </w:tc>
        <w:tc>
          <w:tcPr>
            <w:tcW w:type="dxa" w:w="662"/>
          </w:tcPr>
          <w:p>
            <w:pPr>
              <w:keepNext/>
              <w:spacing w:after="0"/>
              <w:jc w:val="center"/>
            </w:pPr>
            <w:r/>
            <w:r>
              <w:rPr>
                <w:rFonts w:ascii="Times New Roman" w:hAnsi="Times New Roman"/>
                <w:b w:val="0"/>
                <w:i w:val="0"/>
                <w:sz w:val="14"/>
              </w:rPr>
              <w:t>–</w:t>
            </w:r>
          </w:p>
        </w:tc>
      </w:tr>
      <w:tr>
        <w:trPr>
          <w:cantSplit/>
        </w:trPr>
        <w:tc>
          <w:tcPr>
            <w:tcW w:type="dxa" w:w="1944"/>
          </w:tcPr>
          <w:p>
            <w:pPr>
              <w:keepNext/>
              <w:spacing w:after="0"/>
              <w:jc w:val="left"/>
            </w:pPr>
            <w:r/>
            <w:r>
              <w:rPr>
                <w:rFonts w:ascii="Times New Roman" w:hAnsi="Times New Roman"/>
                <w:b w:val="0"/>
                <w:i w:val="0"/>
                <w:sz w:val="14"/>
              </w:rPr>
              <w:t>Absolute ridge (base) + offset</w:t>
            </w:r>
          </w:p>
        </w:tc>
        <w:tc>
          <w:tcPr>
            <w:tcW w:type="dxa" w:w="504"/>
          </w:tcPr>
          <w:p>
            <w:pPr>
              <w:keepNext/>
              <w:spacing w:after="0"/>
              <w:jc w:val="center"/>
            </w:pPr>
            <w:r/>
            <w:r>
              <w:rPr>
                <w:rFonts w:ascii="Times New Roman" w:hAnsi="Times New Roman"/>
                <w:b w:val="0"/>
                <w:i w:val="0"/>
                <w:sz w:val="14"/>
              </w:rPr>
              <w:t>0.17</w:t>
            </w:r>
          </w:p>
        </w:tc>
        <w:tc>
          <w:tcPr>
            <w:tcW w:type="dxa" w:w="619"/>
          </w:tcPr>
          <w:p>
            <w:pPr>
              <w:keepNext/>
              <w:spacing w:after="0"/>
              <w:jc w:val="center"/>
            </w:pPr>
            <w:r/>
            <w:r>
              <w:rPr>
                <w:rFonts w:ascii="Times New Roman" w:hAnsi="Times New Roman"/>
                <w:b w:val="0"/>
                <w:i w:val="0"/>
                <w:sz w:val="14"/>
              </w:rPr>
              <w:t>×4.20</w:t>
            </w:r>
          </w:p>
        </w:tc>
        <w:tc>
          <w:tcPr>
            <w:tcW w:type="dxa" w:w="619"/>
          </w:tcPr>
          <w:p>
            <w:pPr>
              <w:keepNext/>
              <w:spacing w:after="0"/>
              <w:jc w:val="center"/>
            </w:pPr>
            <w:r/>
            <w:r>
              <w:rPr>
                <w:rFonts w:ascii="Times New Roman" w:hAnsi="Times New Roman"/>
                <w:b w:val="0"/>
                <w:i w:val="0"/>
                <w:sz w:val="14"/>
              </w:rPr>
              <w:t>×3.33</w:t>
            </w:r>
          </w:p>
        </w:tc>
        <w:tc>
          <w:tcPr>
            <w:tcW w:type="dxa" w:w="619"/>
          </w:tcPr>
          <w:p>
            <w:pPr>
              <w:keepNext/>
              <w:spacing w:after="0"/>
              <w:jc w:val="center"/>
            </w:pPr>
            <w:r/>
            <w:r>
              <w:rPr>
                <w:rFonts w:ascii="Times New Roman" w:hAnsi="Times New Roman"/>
                <w:b w:val="0"/>
                <w:i w:val="0"/>
                <w:sz w:val="14"/>
              </w:rPr>
              <w:t>×3.22</w:t>
            </w:r>
          </w:p>
        </w:tc>
        <w:tc>
          <w:tcPr>
            <w:tcW w:type="dxa" w:w="662"/>
          </w:tcPr>
          <w:p>
            <w:pPr>
              <w:keepNext/>
              <w:spacing w:after="0"/>
              <w:jc w:val="center"/>
            </w:pPr>
            <w:r/>
            <w:r>
              <w:rPr>
                <w:rFonts w:ascii="Times New Roman" w:hAnsi="Times New Roman"/>
                <w:b w:val="0"/>
                <w:i w:val="0"/>
                <w:sz w:val="14"/>
              </w:rPr>
              <w:t>−22%</w:t>
            </w:r>
          </w:p>
        </w:tc>
      </w:tr>
      <w:tr>
        <w:trPr>
          <w:cantSplit/>
        </w:trPr>
        <w:tc>
          <w:tcPr>
            <w:tcW w:type="dxa" w:w="1944"/>
          </w:tcPr>
          <w:p>
            <w:pPr>
              <w:keepNext/>
              <w:spacing w:after="0"/>
              <w:jc w:val="left"/>
            </w:pPr>
            <w:r/>
            <w:r>
              <w:rPr>
                <w:rFonts w:ascii="Times New Roman" w:hAnsi="Times New Roman"/>
                <w:b w:val="0"/>
                <w:i w:val="0"/>
                <w:sz w:val="14"/>
              </w:rPr>
              <w:t>Within: peak current only</w:t>
            </w:r>
          </w:p>
        </w:tc>
        <w:tc>
          <w:tcPr>
            <w:tcW w:type="dxa" w:w="504"/>
          </w:tcPr>
          <w:p>
            <w:pPr>
              <w:keepNext/>
              <w:spacing w:after="0"/>
              <w:jc w:val="center"/>
            </w:pPr>
            <w:r/>
            <w:r>
              <w:rPr>
                <w:rFonts w:ascii="Times New Roman" w:hAnsi="Times New Roman"/>
                <w:b w:val="0"/>
                <w:i w:val="0"/>
                <w:sz w:val="14"/>
              </w:rPr>
              <w:t>0.55</w:t>
            </w:r>
          </w:p>
        </w:tc>
        <w:tc>
          <w:tcPr>
            <w:tcW w:type="dxa" w:w="619"/>
          </w:tcPr>
          <w:p>
            <w:pPr>
              <w:keepNext/>
              <w:spacing w:after="0"/>
              <w:jc w:val="center"/>
            </w:pPr>
            <w:r/>
            <w:r>
              <w:rPr>
                <w:rFonts w:ascii="Times New Roman" w:hAnsi="Times New Roman"/>
                <w:b w:val="0"/>
                <w:i w:val="0"/>
                <w:sz w:val="14"/>
              </w:rPr>
              <w:t>×2.97</w:t>
            </w:r>
          </w:p>
        </w:tc>
        <w:tc>
          <w:tcPr>
            <w:tcW w:type="dxa" w:w="619"/>
          </w:tcPr>
          <w:p>
            <w:pPr>
              <w:keepNext/>
              <w:spacing w:after="0"/>
              <w:jc w:val="center"/>
            </w:pPr>
            <w:r/>
            <w:r>
              <w:rPr>
                <w:rFonts w:ascii="Times New Roman" w:hAnsi="Times New Roman"/>
                <w:b w:val="0"/>
                <w:i w:val="0"/>
                <w:sz w:val="14"/>
              </w:rPr>
              <w:t>×2.46</w:t>
            </w:r>
          </w:p>
        </w:tc>
        <w:tc>
          <w:tcPr>
            <w:tcW w:type="dxa" w:w="619"/>
          </w:tcPr>
          <w:p>
            <w:pPr>
              <w:keepNext/>
              <w:spacing w:after="0"/>
              <w:jc w:val="center"/>
            </w:pPr>
            <w:r/>
            <w:r>
              <w:rPr>
                <w:rFonts w:ascii="Times New Roman" w:hAnsi="Times New Roman"/>
                <w:b w:val="0"/>
                <w:i w:val="0"/>
                <w:sz w:val="14"/>
              </w:rPr>
              <w:t>×2.36</w:t>
            </w:r>
          </w:p>
        </w:tc>
        <w:tc>
          <w:tcPr>
            <w:tcW w:type="dxa" w:w="662"/>
          </w:tcPr>
          <w:p>
            <w:pPr>
              <w:keepNext/>
              <w:spacing w:after="0"/>
              <w:jc w:val="center"/>
            </w:pPr>
            <w:r/>
            <w:r>
              <w:rPr>
                <w:rFonts w:ascii="Times New Roman" w:hAnsi="Times New Roman"/>
                <w:b w:val="0"/>
                <w:i w:val="0"/>
                <w:sz w:val="14"/>
              </w:rPr>
              <w:t>10%</w:t>
            </w:r>
          </w:p>
        </w:tc>
      </w:tr>
      <w:tr>
        <w:trPr>
          <w:cantSplit/>
        </w:trPr>
        <w:tc>
          <w:tcPr>
            <w:tcW w:type="dxa" w:w="1944"/>
          </w:tcPr>
          <w:p>
            <w:pPr>
              <w:keepNext/>
              <w:spacing w:after="0"/>
              <w:jc w:val="left"/>
            </w:pPr>
            <w:r/>
            <w:r>
              <w:rPr>
                <w:rFonts w:ascii="Times New Roman" w:hAnsi="Times New Roman"/>
                <w:b w:val="0"/>
                <w:i w:val="0"/>
                <w:sz w:val="14"/>
              </w:rPr>
              <w:t>Within: ridge (base)</w:t>
            </w:r>
          </w:p>
        </w:tc>
        <w:tc>
          <w:tcPr>
            <w:tcW w:type="dxa" w:w="504"/>
          </w:tcPr>
          <w:p>
            <w:pPr>
              <w:keepNext/>
              <w:spacing w:after="0"/>
              <w:jc w:val="center"/>
            </w:pPr>
            <w:r/>
            <w:r>
              <w:rPr>
                <w:rFonts w:ascii="Times New Roman" w:hAnsi="Times New Roman"/>
                <w:b w:val="0"/>
                <w:i w:val="0"/>
                <w:sz w:val="14"/>
              </w:rPr>
              <w:t>0.57</w:t>
            </w:r>
          </w:p>
        </w:tc>
        <w:tc>
          <w:tcPr>
            <w:tcW w:type="dxa" w:w="619"/>
          </w:tcPr>
          <w:p>
            <w:pPr>
              <w:keepNext/>
              <w:spacing w:after="0"/>
              <w:jc w:val="center"/>
            </w:pPr>
            <w:r/>
            <w:r>
              <w:rPr>
                <w:rFonts w:ascii="Times New Roman" w:hAnsi="Times New Roman"/>
                <w:b w:val="0"/>
                <w:i w:val="0"/>
                <w:sz w:val="14"/>
              </w:rPr>
              <w:t>×3.18</w:t>
            </w:r>
          </w:p>
        </w:tc>
        <w:tc>
          <w:tcPr>
            <w:tcW w:type="dxa" w:w="619"/>
          </w:tcPr>
          <w:p>
            <w:pPr>
              <w:keepNext/>
              <w:spacing w:after="0"/>
              <w:jc w:val="center"/>
            </w:pPr>
            <w:r/>
            <w:r>
              <w:rPr>
                <w:rFonts w:ascii="Times New Roman" w:hAnsi="Times New Roman"/>
                <w:b w:val="0"/>
                <w:i w:val="0"/>
                <w:sz w:val="14"/>
              </w:rPr>
              <w:t>×2.62</w:t>
            </w:r>
          </w:p>
        </w:tc>
        <w:tc>
          <w:tcPr>
            <w:tcW w:type="dxa" w:w="619"/>
          </w:tcPr>
          <w:p>
            <w:pPr>
              <w:keepNext/>
              <w:spacing w:after="0"/>
              <w:jc w:val="center"/>
            </w:pPr>
            <w:r/>
            <w:r>
              <w:rPr>
                <w:rFonts w:ascii="Times New Roman" w:hAnsi="Times New Roman"/>
                <w:b w:val="0"/>
                <w:i w:val="0"/>
                <w:sz w:val="14"/>
              </w:rPr>
              <w:t>×2.51</w:t>
            </w:r>
          </w:p>
        </w:tc>
        <w:tc>
          <w:tcPr>
            <w:tcW w:type="dxa" w:w="662"/>
          </w:tcPr>
          <w:p>
            <w:pPr>
              <w:keepNext/>
              <w:spacing w:after="0"/>
              <w:jc w:val="center"/>
            </w:pPr>
            <w:r/>
            <w:r>
              <w:rPr>
                <w:rFonts w:ascii="Times New Roman" w:hAnsi="Times New Roman"/>
                <w:b w:val="0"/>
                <w:i w:val="0"/>
                <w:sz w:val="14"/>
              </w:rPr>
              <w:t>4%</w:t>
            </w:r>
          </w:p>
        </w:tc>
      </w:tr>
      <w:tr>
        <w:trPr>
          <w:cantSplit/>
        </w:trPr>
        <w:tc>
          <w:tcPr>
            <w:tcW w:type="dxa" w:w="1944"/>
          </w:tcPr>
          <w:p>
            <w:pPr>
              <w:keepNext/>
              <w:spacing w:after="0"/>
              <w:jc w:val="left"/>
            </w:pPr>
            <w:r/>
            <w:r>
              <w:rPr>
                <w:rFonts w:ascii="Times New Roman" w:hAnsi="Times New Roman"/>
                <w:b w:val="0"/>
                <w:i w:val="0"/>
                <w:sz w:val="14"/>
              </w:rPr>
              <w:t>Within: ridge (physics)</w:t>
            </w:r>
          </w:p>
        </w:tc>
        <w:tc>
          <w:tcPr>
            <w:tcW w:type="dxa" w:w="504"/>
          </w:tcPr>
          <w:p>
            <w:pPr>
              <w:keepNext/>
              <w:spacing w:after="0"/>
              <w:jc w:val="center"/>
            </w:pPr>
            <w:r/>
            <w:r>
              <w:rPr>
                <w:rFonts w:ascii="Times New Roman" w:hAnsi="Times New Roman"/>
                <w:b w:val="0"/>
                <w:i w:val="0"/>
                <w:sz w:val="14"/>
              </w:rPr>
              <w:t>0.58</w:t>
            </w:r>
          </w:p>
        </w:tc>
        <w:tc>
          <w:tcPr>
            <w:tcW w:type="dxa" w:w="619"/>
          </w:tcPr>
          <w:p>
            <w:pPr>
              <w:keepNext/>
              <w:spacing w:after="0"/>
              <w:jc w:val="center"/>
            </w:pPr>
            <w:r/>
            <w:r>
              <w:rPr>
                <w:rFonts w:ascii="Times New Roman" w:hAnsi="Times New Roman"/>
                <w:b w:val="0"/>
                <w:i w:val="0"/>
                <w:sz w:val="14"/>
              </w:rPr>
              <w:t>×3.52</w:t>
            </w:r>
          </w:p>
        </w:tc>
        <w:tc>
          <w:tcPr>
            <w:tcW w:type="dxa" w:w="619"/>
          </w:tcPr>
          <w:p>
            <w:pPr>
              <w:keepNext/>
              <w:spacing w:after="0"/>
              <w:jc w:val="center"/>
            </w:pPr>
            <w:r/>
            <w:r>
              <w:rPr>
                <w:rFonts w:ascii="Times New Roman" w:hAnsi="Times New Roman"/>
                <w:b w:val="0"/>
                <w:i w:val="0"/>
                <w:sz w:val="14"/>
              </w:rPr>
              <w:t>×2.86</w:t>
            </w:r>
          </w:p>
        </w:tc>
        <w:tc>
          <w:tcPr>
            <w:tcW w:type="dxa" w:w="619"/>
          </w:tcPr>
          <w:p>
            <w:pPr>
              <w:keepNext/>
              <w:spacing w:after="0"/>
              <w:jc w:val="center"/>
            </w:pPr>
            <w:r/>
            <w:r>
              <w:rPr>
                <w:rFonts w:ascii="Times New Roman" w:hAnsi="Times New Roman"/>
                <w:b w:val="0"/>
                <w:i w:val="0"/>
                <w:sz w:val="14"/>
              </w:rPr>
              <w:t>×2.76</w:t>
            </w:r>
          </w:p>
        </w:tc>
        <w:tc>
          <w:tcPr>
            <w:tcW w:type="dxa" w:w="662"/>
          </w:tcPr>
          <w:p>
            <w:pPr>
              <w:keepNext/>
              <w:spacing w:after="0"/>
              <w:jc w:val="center"/>
            </w:pPr>
            <w:r/>
            <w:r>
              <w:rPr>
                <w:rFonts w:ascii="Times New Roman" w:hAnsi="Times New Roman"/>
                <w:b w:val="0"/>
                <w:i w:val="0"/>
                <w:sz w:val="14"/>
              </w:rPr>
              <w:t>−5%</w:t>
            </w:r>
          </w:p>
        </w:tc>
      </w:tr>
      <w:tr>
        <w:trPr>
          <w:cantSplit/>
        </w:trPr>
        <w:tc>
          <w:tcPr>
            <w:tcW w:type="dxa" w:w="1944"/>
          </w:tcPr>
          <w:p>
            <w:pPr>
              <w:keepNext/>
              <w:spacing w:after="0"/>
              <w:jc w:val="left"/>
            </w:pPr>
            <w:r/>
            <w:r>
              <w:rPr>
                <w:rFonts w:ascii="Times New Roman" w:hAnsi="Times New Roman"/>
                <w:b w:val="0"/>
                <w:i w:val="0"/>
                <w:sz w:val="14"/>
              </w:rPr>
              <w:t>Within: RF (physics)</w:t>
            </w:r>
          </w:p>
        </w:tc>
        <w:tc>
          <w:tcPr>
            <w:tcW w:type="dxa" w:w="504"/>
          </w:tcPr>
          <w:p>
            <w:pPr>
              <w:keepNext/>
              <w:spacing w:after="0"/>
              <w:jc w:val="center"/>
            </w:pPr>
            <w:r/>
            <w:r>
              <w:rPr>
                <w:rFonts w:ascii="Times New Roman" w:hAnsi="Times New Roman"/>
                <w:b w:val="0"/>
                <w:i w:val="0"/>
                <w:sz w:val="14"/>
              </w:rPr>
              <w:t>0.32</w:t>
            </w:r>
          </w:p>
        </w:tc>
        <w:tc>
          <w:tcPr>
            <w:tcW w:type="dxa" w:w="619"/>
          </w:tcPr>
          <w:p>
            <w:pPr>
              <w:keepNext/>
              <w:spacing w:after="0"/>
              <w:jc w:val="center"/>
            </w:pPr>
            <w:r/>
            <w:r>
              <w:rPr>
                <w:rFonts w:ascii="Times New Roman" w:hAnsi="Times New Roman"/>
                <w:b w:val="0"/>
                <w:i w:val="0"/>
                <w:sz w:val="14"/>
              </w:rPr>
              <w:t>×3.44</w:t>
            </w:r>
          </w:p>
        </w:tc>
        <w:tc>
          <w:tcPr>
            <w:tcW w:type="dxa" w:w="619"/>
          </w:tcPr>
          <w:p>
            <w:pPr>
              <w:keepNext/>
              <w:spacing w:after="0"/>
              <w:jc w:val="center"/>
            </w:pPr>
            <w:r/>
            <w:r>
              <w:rPr>
                <w:rFonts w:ascii="Times New Roman" w:hAnsi="Times New Roman"/>
                <w:b w:val="0"/>
                <w:i w:val="0"/>
                <w:sz w:val="14"/>
              </w:rPr>
              <w:t>×2.81</w:t>
            </w:r>
          </w:p>
        </w:tc>
        <w:tc>
          <w:tcPr>
            <w:tcW w:type="dxa" w:w="619"/>
          </w:tcPr>
          <w:p>
            <w:pPr>
              <w:keepNext/>
              <w:spacing w:after="0"/>
              <w:jc w:val="center"/>
            </w:pPr>
            <w:r/>
            <w:r>
              <w:rPr>
                <w:rFonts w:ascii="Times New Roman" w:hAnsi="Times New Roman"/>
                <w:b w:val="0"/>
                <w:i w:val="0"/>
                <w:sz w:val="14"/>
              </w:rPr>
              <w:t>×2.69</w:t>
            </w:r>
          </w:p>
        </w:tc>
        <w:tc>
          <w:tcPr>
            <w:tcW w:type="dxa" w:w="662"/>
          </w:tcPr>
          <w:p>
            <w:pPr>
              <w:keepNext/>
              <w:spacing w:after="0"/>
              <w:jc w:val="center"/>
            </w:pPr>
            <w:r/>
            <w:r>
              <w:rPr>
                <w:rFonts w:ascii="Times New Roman" w:hAnsi="Times New Roman"/>
                <w:b w:val="0"/>
                <w:i w:val="0"/>
                <w:sz w:val="14"/>
              </w:rPr>
              <w:t>−3%</w:t>
            </w:r>
          </w:p>
        </w:tc>
      </w:tr>
      <w:tr>
        <w:trPr>
          <w:cantSplit/>
        </w:trPr>
        <w:tc>
          <w:tcPr>
            <w:tcW w:type="dxa" w:w="1944"/>
          </w:tcPr>
          <w:p>
            <w:pPr>
              <w:keepNext/>
              <w:spacing w:after="0"/>
              <w:jc w:val="left"/>
            </w:pPr>
            <w:r/>
            <w:r>
              <w:rPr>
                <w:rFonts w:ascii="Times New Roman" w:hAnsi="Times New Roman"/>
                <w:b w:val="0"/>
                <w:i w:val="0"/>
                <w:sz w:val="14"/>
              </w:rPr>
              <w:t>Within: SVR (physics)</w:t>
            </w:r>
          </w:p>
        </w:tc>
        <w:tc>
          <w:tcPr>
            <w:tcW w:type="dxa" w:w="504"/>
          </w:tcPr>
          <w:p>
            <w:pPr>
              <w:keepNext/>
              <w:spacing w:after="0"/>
              <w:jc w:val="center"/>
            </w:pPr>
            <w:r/>
            <w:r>
              <w:rPr>
                <w:rFonts w:ascii="Times New Roman" w:hAnsi="Times New Roman"/>
                <w:b w:val="0"/>
                <w:i w:val="0"/>
                <w:sz w:val="14"/>
              </w:rPr>
              <w:t>0.60</w:t>
            </w:r>
          </w:p>
        </w:tc>
        <w:tc>
          <w:tcPr>
            <w:tcW w:type="dxa" w:w="619"/>
          </w:tcPr>
          <w:p>
            <w:pPr>
              <w:keepNext/>
              <w:spacing w:after="0"/>
              <w:jc w:val="center"/>
            </w:pPr>
            <w:r/>
            <w:r>
              <w:rPr>
                <w:rFonts w:ascii="Times New Roman" w:hAnsi="Times New Roman"/>
                <w:b w:val="0"/>
                <w:i w:val="0"/>
                <w:sz w:val="14"/>
              </w:rPr>
              <w:t>×3.32</w:t>
            </w:r>
          </w:p>
        </w:tc>
        <w:tc>
          <w:tcPr>
            <w:tcW w:type="dxa" w:w="619"/>
          </w:tcPr>
          <w:p>
            <w:pPr>
              <w:keepNext/>
              <w:spacing w:after="0"/>
              <w:jc w:val="center"/>
            </w:pPr>
            <w:r/>
            <w:r>
              <w:rPr>
                <w:rFonts w:ascii="Times New Roman" w:hAnsi="Times New Roman"/>
                <w:b w:val="0"/>
                <w:i w:val="0"/>
                <w:sz w:val="14"/>
              </w:rPr>
              <w:t>×2.74</w:t>
            </w:r>
          </w:p>
        </w:tc>
        <w:tc>
          <w:tcPr>
            <w:tcW w:type="dxa" w:w="619"/>
          </w:tcPr>
          <w:p>
            <w:pPr>
              <w:keepNext/>
              <w:spacing w:after="0"/>
              <w:jc w:val="center"/>
            </w:pPr>
            <w:r/>
            <w:r>
              <w:rPr>
                <w:rFonts w:ascii="Times New Roman" w:hAnsi="Times New Roman"/>
                <w:b w:val="0"/>
                <w:i w:val="0"/>
                <w:sz w:val="14"/>
              </w:rPr>
              <w:t>×2.64</w:t>
            </w:r>
          </w:p>
        </w:tc>
        <w:tc>
          <w:tcPr>
            <w:tcW w:type="dxa" w:w="662"/>
          </w:tcPr>
          <w:p>
            <w:pPr>
              <w:keepNext/>
              <w:spacing w:after="0"/>
              <w:jc w:val="center"/>
            </w:pPr>
            <w:r/>
            <w:r>
              <w:rPr>
                <w:rFonts w:ascii="Times New Roman" w:hAnsi="Times New Roman"/>
                <w:b w:val="0"/>
                <w:i w:val="0"/>
                <w:sz w:val="14"/>
              </w:rPr>
              <w:t>−1%</w:t>
            </w:r>
          </w:p>
        </w:tc>
      </w:tr>
      <w:tr>
        <w:trPr>
          <w:cantSplit/>
        </w:trPr>
        <w:tc>
          <w:tcPr>
            <w:tcW w:type="dxa" w:w="1944"/>
          </w:tcPr>
          <w:p>
            <w:pPr>
              <w:keepNext/>
              <w:spacing w:after="0"/>
              <w:jc w:val="left"/>
            </w:pPr>
            <w:r/>
            <w:r>
              <w:rPr>
                <w:rFonts w:ascii="Times New Roman" w:hAnsi="Times New Roman"/>
                <w:b w:val="0"/>
                <w:i w:val="0"/>
                <w:sz w:val="14"/>
              </w:rPr>
              <w:t>Within: XGBoost, monotone (physics)</w:t>
            </w:r>
          </w:p>
        </w:tc>
        <w:tc>
          <w:tcPr>
            <w:tcW w:type="dxa" w:w="504"/>
          </w:tcPr>
          <w:p>
            <w:pPr>
              <w:keepNext/>
              <w:spacing w:after="0"/>
              <w:jc w:val="center"/>
            </w:pPr>
            <w:r/>
            <w:r>
              <w:rPr>
                <w:rFonts w:ascii="Times New Roman" w:hAnsi="Times New Roman"/>
                <w:b w:val="0"/>
                <w:i w:val="0"/>
                <w:sz w:val="14"/>
              </w:rPr>
              <w:t>0.36</w:t>
            </w:r>
          </w:p>
        </w:tc>
        <w:tc>
          <w:tcPr>
            <w:tcW w:type="dxa" w:w="619"/>
          </w:tcPr>
          <w:p>
            <w:pPr>
              <w:keepNext/>
              <w:spacing w:after="0"/>
              <w:jc w:val="center"/>
            </w:pPr>
            <w:r/>
            <w:r>
              <w:rPr>
                <w:rFonts w:ascii="Times New Roman" w:hAnsi="Times New Roman"/>
                <w:b w:val="0"/>
                <w:i w:val="0"/>
                <w:sz w:val="14"/>
              </w:rPr>
              <w:t>×3.52</w:t>
            </w:r>
          </w:p>
        </w:tc>
        <w:tc>
          <w:tcPr>
            <w:tcW w:type="dxa" w:w="619"/>
          </w:tcPr>
          <w:p>
            <w:pPr>
              <w:keepNext/>
              <w:spacing w:after="0"/>
              <w:jc w:val="center"/>
            </w:pPr>
            <w:r/>
            <w:r>
              <w:rPr>
                <w:rFonts w:ascii="Times New Roman" w:hAnsi="Times New Roman"/>
                <w:b w:val="0"/>
                <w:i w:val="0"/>
                <w:sz w:val="14"/>
              </w:rPr>
              <w:t>×2.84</w:t>
            </w:r>
          </w:p>
        </w:tc>
        <w:tc>
          <w:tcPr>
            <w:tcW w:type="dxa" w:w="619"/>
          </w:tcPr>
          <w:p>
            <w:pPr>
              <w:keepNext/>
              <w:spacing w:after="0"/>
              <w:jc w:val="center"/>
            </w:pPr>
            <w:r/>
            <w:r>
              <w:rPr>
                <w:rFonts w:ascii="Times New Roman" w:hAnsi="Times New Roman"/>
                <w:b w:val="0"/>
                <w:i w:val="0"/>
                <w:sz w:val="14"/>
              </w:rPr>
              <w:t>×2.71</w:t>
            </w:r>
          </w:p>
        </w:tc>
        <w:tc>
          <w:tcPr>
            <w:tcW w:type="dxa" w:w="662"/>
          </w:tcPr>
          <w:p>
            <w:pPr>
              <w:keepNext/>
              <w:spacing w:after="0"/>
              <w:jc w:val="center"/>
            </w:pPr>
            <w:r/>
            <w:r>
              <w:rPr>
                <w:rFonts w:ascii="Times New Roman" w:hAnsi="Times New Roman"/>
                <w:b w:val="0"/>
                <w:i w:val="0"/>
                <w:sz w:val="14"/>
              </w:rPr>
              <w:t>−4%</w:t>
            </w:r>
          </w:p>
        </w:tc>
      </w:tr>
    </w:tbl>
    <w:p>
      <w:pPr>
        <w:keepNext w:val="0"/>
        <w:spacing w:after="120" w:before="0"/>
        <w:jc w:val="left"/>
      </w:pPr>
      <w:r>
        <w:rPr>
          <w:rFonts w:ascii="Times New Roman" w:hAnsi="Times New Roman"/>
          <w:b w:val="0"/>
          <w:i w:val="0"/>
          <w:sz w:val="14"/>
        </w:rPr>
        <w:t>Typical error factor on the runs not used for calibration, pooled over the held-out studies and 1000 draws of the k runs (the same draws for every row). Gain: reduction of the typical error factor relative to the mean of the k runs. ρ: median within-study Spearman correlation under LOPO.</w:t>
      </w:r>
    </w:p>
    <w:p>
      <w:pPr>
        <w:keepNext w:val="0"/>
        <w:spacing w:after="40" w:before="0"/>
        <w:ind w:firstLine="202"/>
        <w:jc w:val="both"/>
      </w:pPr>
      <w:r>
        <w:rPr>
          <w:rFonts w:ascii="Times New Roman" w:hAnsi="Times New Roman"/>
          <w:b w:val="0"/>
          <w:i w:val="0"/>
          <w:sz w:val="20"/>
        </w:rPr>
        <w:t>Table VI and Fig. 5 show what happens when a few runs of the new study are available. Predicting their mean gave typical errors of ×3.31, ×2.72 and ×2.59 for k = 1, 3 and 5. Shifting the absolute ridge model by its error on the same runs was worse at every k (×4.20, ×3.33 and ×3.22): its within-study pattern adds error rather than information. Two within-study models improved on the k-run mean at every k. Peak current alone did so by 9–10% (at k = 3, from ×2.72 to ×2.46; it beat the k-run mean in 63% of the draws, and the share of predictions within a factor of two rose from 48% to 53%), and ridge on the base inputs by 3–4%. The physics-feature models did not help: within-study ridge, RF and the monotone XGBoost were 3–6% worse than the k-run mean, and SVR, despite its good ordering, was no better (−2% to 0%), because ordering the runs correctly is not enough when the size of the predicted changes is wrong.</w:t>
      </w:r>
    </w:p>
    <w:p>
      <w:pPr>
        <w:keepNext/>
        <w:jc w:val="center"/>
      </w:pPr>
      <w:r>
        <w:drawing>
          <wp:inline xmlns:a="http://schemas.openxmlformats.org/drawingml/2006/main" xmlns:pic="http://schemas.openxmlformats.org/drawingml/2006/picture">
            <wp:extent cx="3063240" cy="2123765"/>
            <wp:docPr id="5" name="Picture 5"/>
            <wp:cNvGraphicFramePr>
              <a:graphicFrameLocks noChangeAspect="1"/>
            </wp:cNvGraphicFramePr>
            <a:graphic>
              <a:graphicData uri="http://schemas.openxmlformats.org/drawingml/2006/picture">
                <pic:pic>
                  <pic:nvPicPr>
                    <pic:cNvPr id="0" name="fig5_calibration.png"/>
                    <pic:cNvPicPr/>
                  </pic:nvPicPr>
                  <pic:blipFill>
                    <a:blip r:embed="rId13"/>
                    <a:stretch>
                      <a:fillRect/>
                    </a:stretch>
                  </pic:blipFill>
                  <pic:spPr>
                    <a:xfrm>
                      <a:off x="0" y="0"/>
                      <a:ext cx="3063240" cy="2123765"/>
                    </a:xfrm>
                    <a:prstGeom prst="rect"/>
                  </pic:spPr>
                </pic:pic>
              </a:graphicData>
            </a:graphic>
          </wp:inline>
        </w:drawing>
      </w:r>
    </w:p>
    <w:p>
      <w:pPr>
        <w:keepNext w:val="0"/>
        <w:spacing w:after="120" w:before="0"/>
        <w:jc w:val="both"/>
      </w:pPr>
      <w:r>
        <w:rPr>
          <w:rFonts w:ascii="Times New Roman" w:hAnsi="Times New Roman"/>
          <w:b w:val="0"/>
          <w:i w:val="0"/>
          <w:sz w:val="16"/>
        </w:rPr>
        <w:t>Fig. 5. Typical error factor on the remaining runs of a held-out study when k of its runs are used to set the level.</w:t>
      </w:r>
    </w:p>
    <w:p>
      <w:pPr>
        <w:keepNext/>
        <w:spacing w:after="40" w:before="80"/>
        <w:jc w:val="left"/>
      </w:pPr>
      <w:r>
        <w:rPr>
          <w:rFonts w:ascii="Times New Roman" w:hAnsi="Times New Roman"/>
          <w:b w:val="0"/>
          <w:i/>
          <w:sz w:val="20"/>
        </w:rPr>
        <w:t>E. Robustness</w:t>
      </w:r>
    </w:p>
    <w:p>
      <w:pPr>
        <w:keepNext/>
        <w:spacing w:after="0" w:before="0"/>
        <w:jc w:val="center"/>
      </w:pPr>
      <w:r>
        <w:rPr>
          <w:rFonts w:ascii="Times New Roman" w:hAnsi="Times New Roman"/>
          <w:b w:val="0"/>
          <w:i w:val="0"/>
          <w:sz w:val="16"/>
        </w:rPr>
        <w:t>TABLE VII</w:t>
      </w:r>
    </w:p>
    <w:p>
      <w:pPr>
        <w:keepNext/>
        <w:spacing w:after="40" w:before="0"/>
        <w:jc w:val="center"/>
      </w:pPr>
      <w:r>
        <w:rPr>
          <w:rFonts w:ascii="Times New Roman" w:hAnsi="Times New Roman"/>
          <w:b w:val="0"/>
          <w:i w:val="0"/>
          <w:sz w:val="14"/>
        </w:rPr>
        <w:t>LEAVE-ONE-PAPER-OUT R² ON DATA SUBSETS</w:t>
      </w:r>
    </w:p>
    <w:tbl>
      <w:tblPr>
        <w:tblW w:type="dxa" w:w="4968"/>
        <w:jc w:val="center"/>
        <w:tblLayout w:type="fixed"/>
        <w:tblLook w:firstColumn="1" w:firstRow="1" w:lastColumn="0" w:lastRow="0" w:noHBand="0" w:noVBand="1" w:val="04A0"/>
        <w:tblCellMar>
          <w:left w:w="43" w:type="dxa"/>
          <w:right w:w="43" w:type="dxa"/>
        </w:tblCellMar>
        <w:tblBorders>
          <w:top w:val="single" w:sz="6"/>
          <w:left w:val="nil"/>
          <w:bottom w:val="single" w:sz="6"/>
          <w:right w:val="nil"/>
          <w:insideH w:val="nil"/>
          <w:insideV w:val="nil"/>
        </w:tblBorders>
      </w:tblPr>
      <w:tblGrid>
        <w:gridCol w:w="1872"/>
        <w:gridCol w:w="503"/>
        <w:gridCol w:w="604"/>
        <w:gridCol w:w="648"/>
        <w:gridCol w:w="691"/>
        <w:gridCol w:w="648"/>
      </w:tblGrid>
      <w:tr>
        <w:trPr>
          <w:cantSplit/>
        </w:trPr>
        <w:tc>
          <w:tcPr>
            <w:tcW w:type="dxa" w:w="1872"/>
            <w:tcBorders>
              <w:bottom w:val="single" w:sz="4"/>
            </w:tcBorders>
          </w:tcPr>
          <w:p>
            <w:pPr>
              <w:keepNext/>
              <w:spacing w:after="0"/>
              <w:jc w:val="left"/>
            </w:pPr>
            <w:r/>
            <w:r>
              <w:rPr>
                <w:rFonts w:ascii="Times New Roman" w:hAnsi="Times New Roman"/>
                <w:b/>
                <w:i w:val="0"/>
                <w:sz w:val="14"/>
              </w:rPr>
              <w:t>Subset</w:t>
            </w:r>
          </w:p>
        </w:tc>
        <w:tc>
          <w:tcPr>
            <w:tcW w:type="dxa" w:w="504"/>
            <w:tcBorders>
              <w:bottom w:val="single" w:sz="4"/>
            </w:tcBorders>
          </w:tcPr>
          <w:p>
            <w:pPr>
              <w:keepNext/>
              <w:spacing w:after="0"/>
              <w:jc w:val="center"/>
            </w:pPr>
            <w:r/>
            <w:r>
              <w:rPr>
                <w:rFonts w:ascii="Times New Roman" w:hAnsi="Times New Roman"/>
                <w:b/>
                <w:i w:val="0"/>
                <w:sz w:val="14"/>
              </w:rPr>
              <w:t>Runs</w:t>
            </w:r>
          </w:p>
        </w:tc>
        <w:tc>
          <w:tcPr>
            <w:tcW w:type="dxa" w:w="605"/>
            <w:tcBorders>
              <w:bottom w:val="single" w:sz="4"/>
            </w:tcBorders>
          </w:tcPr>
          <w:p>
            <w:pPr>
              <w:keepNext/>
              <w:spacing w:after="0"/>
              <w:jc w:val="center"/>
            </w:pPr>
            <w:r/>
            <w:r>
              <w:rPr>
                <w:rFonts w:ascii="Times New Roman" w:hAnsi="Times New Roman"/>
                <w:b/>
                <w:i w:val="0"/>
                <w:sz w:val="14"/>
              </w:rPr>
              <w:t>Studies</w:t>
            </w:r>
          </w:p>
        </w:tc>
        <w:tc>
          <w:tcPr>
            <w:tcW w:type="dxa" w:w="648"/>
            <w:tcBorders>
              <w:bottom w:val="single" w:sz="4"/>
            </w:tcBorders>
          </w:tcPr>
          <w:p>
            <w:pPr>
              <w:keepNext/>
              <w:spacing w:after="0"/>
              <w:jc w:val="center"/>
            </w:pPr>
            <w:r/>
            <w:r>
              <w:rPr>
                <w:rFonts w:ascii="Times New Roman" w:hAnsi="Times New Roman"/>
                <w:b/>
                <w:i w:val="0"/>
                <w:sz w:val="14"/>
              </w:rPr>
              <w:t>Ridge (base)</w:t>
            </w:r>
          </w:p>
        </w:tc>
        <w:tc>
          <w:tcPr>
            <w:tcW w:type="dxa" w:w="691"/>
            <w:tcBorders>
              <w:bottom w:val="single" w:sz="4"/>
            </w:tcBorders>
          </w:tcPr>
          <w:p>
            <w:pPr>
              <w:keepNext/>
              <w:spacing w:after="0"/>
              <w:jc w:val="center"/>
            </w:pPr>
            <w:r/>
            <w:r>
              <w:rPr>
                <w:rFonts w:ascii="Times New Roman" w:hAnsi="Times New Roman"/>
                <w:b/>
                <w:i w:val="0"/>
                <w:sz w:val="14"/>
              </w:rPr>
              <w:t>Best nonlinear</w:t>
            </w:r>
          </w:p>
        </w:tc>
        <w:tc>
          <w:tcPr>
            <w:tcW w:type="dxa" w:w="648"/>
            <w:tcBorders>
              <w:bottom w:val="single" w:sz="4"/>
            </w:tcBorders>
          </w:tcPr>
          <w:p>
            <w:pPr>
              <w:keepNext/>
              <w:spacing w:after="0"/>
              <w:jc w:val="center"/>
            </w:pPr>
            <w:r/>
            <w:r>
              <w:rPr>
                <w:rFonts w:ascii="Times New Roman" w:hAnsi="Times New Roman"/>
                <w:b/>
                <w:i w:val="0"/>
                <w:sz w:val="14"/>
              </w:rPr>
              <w:t>Mean baseline</w:t>
            </w:r>
          </w:p>
        </w:tc>
      </w:tr>
      <w:tr>
        <w:trPr>
          <w:cantSplit/>
        </w:trPr>
        <w:tc>
          <w:tcPr>
            <w:tcW w:type="dxa" w:w="1872"/>
          </w:tcPr>
          <w:p>
            <w:pPr>
              <w:keepNext/>
              <w:spacing w:after="0"/>
              <w:jc w:val="left"/>
            </w:pPr>
            <w:r/>
            <w:r>
              <w:rPr>
                <w:rFonts w:ascii="Times New Roman" w:hAnsi="Times New Roman"/>
                <w:b w:val="0"/>
                <w:i w:val="0"/>
                <w:sz w:val="14"/>
              </w:rPr>
              <w:t>All data</w:t>
            </w:r>
          </w:p>
        </w:tc>
        <w:tc>
          <w:tcPr>
            <w:tcW w:type="dxa" w:w="504"/>
          </w:tcPr>
          <w:p>
            <w:pPr>
              <w:keepNext/>
              <w:spacing w:after="0"/>
              <w:jc w:val="center"/>
            </w:pPr>
            <w:r/>
            <w:r>
              <w:rPr>
                <w:rFonts w:ascii="Times New Roman" w:hAnsi="Times New Roman"/>
                <w:b w:val="0"/>
                <w:i w:val="0"/>
                <w:sz w:val="14"/>
              </w:rPr>
              <w:t>156</w:t>
            </w:r>
          </w:p>
        </w:tc>
        <w:tc>
          <w:tcPr>
            <w:tcW w:type="dxa" w:w="605"/>
          </w:tcPr>
          <w:p>
            <w:pPr>
              <w:keepNext/>
              <w:spacing w:after="0"/>
              <w:jc w:val="center"/>
            </w:pPr>
            <w:r/>
            <w:r>
              <w:rPr>
                <w:rFonts w:ascii="Times New Roman" w:hAnsi="Times New Roman"/>
                <w:b w:val="0"/>
                <w:i w:val="0"/>
                <w:sz w:val="14"/>
              </w:rPr>
              <w:t>10</w:t>
            </w:r>
          </w:p>
        </w:tc>
        <w:tc>
          <w:tcPr>
            <w:tcW w:type="dxa" w:w="648"/>
          </w:tcPr>
          <w:p>
            <w:pPr>
              <w:keepNext/>
              <w:spacing w:after="0"/>
              <w:jc w:val="center"/>
            </w:pPr>
            <w:r/>
            <w:r>
              <w:rPr>
                <w:rFonts w:ascii="Times New Roman" w:hAnsi="Times New Roman"/>
                <w:b w:val="0"/>
                <w:i w:val="0"/>
                <w:sz w:val="14"/>
              </w:rPr>
              <w:t>0.12</w:t>
            </w:r>
          </w:p>
        </w:tc>
        <w:tc>
          <w:tcPr>
            <w:tcW w:type="dxa" w:w="691"/>
          </w:tcPr>
          <w:p>
            <w:pPr>
              <w:keepNext/>
              <w:spacing w:after="0"/>
              <w:jc w:val="center"/>
            </w:pPr>
            <w:r/>
            <w:r>
              <w:rPr>
                <w:rFonts w:ascii="Times New Roman" w:hAnsi="Times New Roman"/>
                <w:b w:val="0"/>
                <w:i w:val="0"/>
                <w:sz w:val="14"/>
              </w:rPr>
              <w:t>−0.09</w:t>
            </w:r>
          </w:p>
        </w:tc>
        <w:tc>
          <w:tcPr>
            <w:tcW w:type="dxa" w:w="648"/>
          </w:tcPr>
          <w:p>
            <w:pPr>
              <w:keepNext/>
              <w:spacing w:after="0"/>
              <w:jc w:val="center"/>
            </w:pPr>
            <w:r/>
            <w:r>
              <w:rPr>
                <w:rFonts w:ascii="Times New Roman" w:hAnsi="Times New Roman"/>
                <w:b w:val="0"/>
                <w:i w:val="0"/>
                <w:sz w:val="14"/>
              </w:rPr>
              <w:t>−0.22</w:t>
            </w:r>
          </w:p>
        </w:tc>
      </w:tr>
      <w:tr>
        <w:trPr>
          <w:cantSplit/>
        </w:trPr>
        <w:tc>
          <w:tcPr>
            <w:tcW w:type="dxa" w:w="1872"/>
          </w:tcPr>
          <w:p>
            <w:pPr>
              <w:keepNext/>
              <w:spacing w:after="0"/>
              <w:jc w:val="left"/>
            </w:pPr>
            <w:r/>
            <w:r>
              <w:rPr>
                <w:rFonts w:ascii="Times New Roman" w:hAnsi="Times New Roman"/>
                <w:b w:val="0"/>
                <w:i w:val="0"/>
                <w:sz w:val="14"/>
              </w:rPr>
              <w:t>Without P01 run 13</w:t>
            </w:r>
          </w:p>
        </w:tc>
        <w:tc>
          <w:tcPr>
            <w:tcW w:type="dxa" w:w="504"/>
          </w:tcPr>
          <w:p>
            <w:pPr>
              <w:keepNext/>
              <w:spacing w:after="0"/>
              <w:jc w:val="center"/>
            </w:pPr>
            <w:r/>
            <w:r>
              <w:rPr>
                <w:rFonts w:ascii="Times New Roman" w:hAnsi="Times New Roman"/>
                <w:b w:val="0"/>
                <w:i w:val="0"/>
                <w:sz w:val="14"/>
              </w:rPr>
              <w:t>155</w:t>
            </w:r>
          </w:p>
        </w:tc>
        <w:tc>
          <w:tcPr>
            <w:tcW w:type="dxa" w:w="605"/>
          </w:tcPr>
          <w:p>
            <w:pPr>
              <w:keepNext/>
              <w:spacing w:after="0"/>
              <w:jc w:val="center"/>
            </w:pPr>
            <w:r/>
            <w:r>
              <w:rPr>
                <w:rFonts w:ascii="Times New Roman" w:hAnsi="Times New Roman"/>
                <w:b w:val="0"/>
                <w:i w:val="0"/>
                <w:sz w:val="14"/>
              </w:rPr>
              <w:t>10</w:t>
            </w:r>
          </w:p>
        </w:tc>
        <w:tc>
          <w:tcPr>
            <w:tcW w:type="dxa" w:w="648"/>
          </w:tcPr>
          <w:p>
            <w:pPr>
              <w:keepNext/>
              <w:spacing w:after="0"/>
              <w:jc w:val="center"/>
            </w:pPr>
            <w:r/>
            <w:r>
              <w:rPr>
                <w:rFonts w:ascii="Times New Roman" w:hAnsi="Times New Roman"/>
                <w:b w:val="0"/>
                <w:i w:val="0"/>
                <w:sz w:val="14"/>
              </w:rPr>
              <w:t>0.11</w:t>
            </w:r>
          </w:p>
        </w:tc>
        <w:tc>
          <w:tcPr>
            <w:tcW w:type="dxa" w:w="691"/>
          </w:tcPr>
          <w:p>
            <w:pPr>
              <w:keepNext/>
              <w:spacing w:after="0"/>
              <w:jc w:val="center"/>
            </w:pPr>
            <w:r/>
            <w:r>
              <w:rPr>
                <w:rFonts w:ascii="Times New Roman" w:hAnsi="Times New Roman"/>
                <w:b w:val="0"/>
                <w:i w:val="0"/>
                <w:sz w:val="14"/>
              </w:rPr>
              <w:t>0.01</w:t>
            </w:r>
          </w:p>
        </w:tc>
        <w:tc>
          <w:tcPr>
            <w:tcW w:type="dxa" w:w="648"/>
          </w:tcPr>
          <w:p>
            <w:pPr>
              <w:keepNext/>
              <w:spacing w:after="0"/>
              <w:jc w:val="center"/>
            </w:pPr>
            <w:r/>
            <w:r>
              <w:rPr>
                <w:rFonts w:ascii="Times New Roman" w:hAnsi="Times New Roman"/>
                <w:b w:val="0"/>
                <w:i w:val="0"/>
                <w:sz w:val="14"/>
              </w:rPr>
              <w:t>−0.21</w:t>
            </w:r>
          </w:p>
        </w:tc>
      </w:tr>
      <w:tr>
        <w:trPr>
          <w:cantSplit/>
        </w:trPr>
        <w:tc>
          <w:tcPr>
            <w:tcW w:type="dxa" w:w="1872"/>
          </w:tcPr>
          <w:p>
            <w:pPr>
              <w:keepNext/>
              <w:spacing w:after="0"/>
              <w:jc w:val="left"/>
            </w:pPr>
            <w:r/>
            <w:r>
              <w:rPr>
                <w:rFonts w:ascii="Times New Roman" w:hAnsi="Times New Roman"/>
                <w:b w:val="0"/>
                <w:i w:val="0"/>
                <w:sz w:val="14"/>
              </w:rPr>
              <w:t>Without P21 (derived TWR)</w:t>
            </w:r>
          </w:p>
        </w:tc>
        <w:tc>
          <w:tcPr>
            <w:tcW w:type="dxa" w:w="504"/>
          </w:tcPr>
          <w:p>
            <w:pPr>
              <w:keepNext/>
              <w:spacing w:after="0"/>
              <w:jc w:val="center"/>
            </w:pPr>
            <w:r/>
            <w:r>
              <w:rPr>
                <w:rFonts w:ascii="Times New Roman" w:hAnsi="Times New Roman"/>
                <w:b w:val="0"/>
                <w:i w:val="0"/>
                <w:sz w:val="14"/>
              </w:rPr>
              <w:t>147</w:t>
            </w:r>
          </w:p>
        </w:tc>
        <w:tc>
          <w:tcPr>
            <w:tcW w:type="dxa" w:w="605"/>
          </w:tcPr>
          <w:p>
            <w:pPr>
              <w:keepNext/>
              <w:spacing w:after="0"/>
              <w:jc w:val="center"/>
            </w:pPr>
            <w:r/>
            <w:r>
              <w:rPr>
                <w:rFonts w:ascii="Times New Roman" w:hAnsi="Times New Roman"/>
                <w:b w:val="0"/>
                <w:i w:val="0"/>
                <w:sz w:val="14"/>
              </w:rPr>
              <w:t>9</w:t>
            </w:r>
          </w:p>
        </w:tc>
        <w:tc>
          <w:tcPr>
            <w:tcW w:type="dxa" w:w="648"/>
          </w:tcPr>
          <w:p>
            <w:pPr>
              <w:keepNext/>
              <w:spacing w:after="0"/>
              <w:jc w:val="center"/>
            </w:pPr>
            <w:r/>
            <w:r>
              <w:rPr>
                <w:rFonts w:ascii="Times New Roman" w:hAnsi="Times New Roman"/>
                <w:b w:val="0"/>
                <w:i w:val="0"/>
                <w:sz w:val="14"/>
              </w:rPr>
              <w:t>−0.11</w:t>
            </w:r>
          </w:p>
        </w:tc>
        <w:tc>
          <w:tcPr>
            <w:tcW w:type="dxa" w:w="691"/>
          </w:tcPr>
          <w:p>
            <w:pPr>
              <w:keepNext/>
              <w:spacing w:after="0"/>
              <w:jc w:val="center"/>
            </w:pPr>
            <w:r/>
            <w:r>
              <w:rPr>
                <w:rFonts w:ascii="Times New Roman" w:hAnsi="Times New Roman"/>
                <w:b w:val="0"/>
                <w:i w:val="0"/>
                <w:sz w:val="14"/>
              </w:rPr>
              <w:t>−0.14</w:t>
            </w:r>
          </w:p>
        </w:tc>
        <w:tc>
          <w:tcPr>
            <w:tcW w:type="dxa" w:w="648"/>
          </w:tcPr>
          <w:p>
            <w:pPr>
              <w:keepNext/>
              <w:spacing w:after="0"/>
              <w:jc w:val="center"/>
            </w:pPr>
            <w:r/>
            <w:r>
              <w:rPr>
                <w:rFonts w:ascii="Times New Roman" w:hAnsi="Times New Roman"/>
                <w:b w:val="0"/>
                <w:i w:val="0"/>
                <w:sz w:val="14"/>
              </w:rPr>
              <w:t>−0.26</w:t>
            </w:r>
          </w:p>
        </w:tc>
      </w:tr>
      <w:tr>
        <w:trPr>
          <w:cantSplit/>
        </w:trPr>
        <w:tc>
          <w:tcPr>
            <w:tcW w:type="dxa" w:w="1872"/>
          </w:tcPr>
          <w:p>
            <w:pPr>
              <w:keepNext/>
              <w:spacing w:after="0"/>
              <w:jc w:val="left"/>
            </w:pPr>
            <w:r/>
            <w:r>
              <w:rPr>
                <w:rFonts w:ascii="Times New Roman" w:hAnsi="Times New Roman"/>
                <w:b w:val="0"/>
                <w:i w:val="0"/>
                <w:sz w:val="14"/>
              </w:rPr>
              <w:t>Without printed zeros</w:t>
            </w:r>
          </w:p>
        </w:tc>
        <w:tc>
          <w:tcPr>
            <w:tcW w:type="dxa" w:w="504"/>
          </w:tcPr>
          <w:p>
            <w:pPr>
              <w:keepNext/>
              <w:spacing w:after="0"/>
              <w:jc w:val="center"/>
            </w:pPr>
            <w:r/>
            <w:r>
              <w:rPr>
                <w:rFonts w:ascii="Times New Roman" w:hAnsi="Times New Roman"/>
                <w:b w:val="0"/>
                <w:i w:val="0"/>
                <w:sz w:val="14"/>
              </w:rPr>
              <w:t>153</w:t>
            </w:r>
          </w:p>
        </w:tc>
        <w:tc>
          <w:tcPr>
            <w:tcW w:type="dxa" w:w="605"/>
          </w:tcPr>
          <w:p>
            <w:pPr>
              <w:keepNext/>
              <w:spacing w:after="0"/>
              <w:jc w:val="center"/>
            </w:pPr>
            <w:r/>
            <w:r>
              <w:rPr>
                <w:rFonts w:ascii="Times New Roman" w:hAnsi="Times New Roman"/>
                <w:b w:val="0"/>
                <w:i w:val="0"/>
                <w:sz w:val="14"/>
              </w:rPr>
              <w:t>10</w:t>
            </w:r>
          </w:p>
        </w:tc>
        <w:tc>
          <w:tcPr>
            <w:tcW w:type="dxa" w:w="648"/>
          </w:tcPr>
          <w:p>
            <w:pPr>
              <w:keepNext/>
              <w:spacing w:after="0"/>
              <w:jc w:val="center"/>
            </w:pPr>
            <w:r/>
            <w:r>
              <w:rPr>
                <w:rFonts w:ascii="Times New Roman" w:hAnsi="Times New Roman"/>
                <w:b w:val="0"/>
                <w:i w:val="0"/>
                <w:sz w:val="14"/>
              </w:rPr>
              <w:t>0.11</w:t>
            </w:r>
          </w:p>
        </w:tc>
        <w:tc>
          <w:tcPr>
            <w:tcW w:type="dxa" w:w="691"/>
          </w:tcPr>
          <w:p>
            <w:pPr>
              <w:keepNext/>
              <w:spacing w:after="0"/>
              <w:jc w:val="center"/>
            </w:pPr>
            <w:r/>
            <w:r>
              <w:rPr>
                <w:rFonts w:ascii="Times New Roman" w:hAnsi="Times New Roman"/>
                <w:b w:val="0"/>
                <w:i w:val="0"/>
                <w:sz w:val="14"/>
              </w:rPr>
              <w:t>−0.18</w:t>
            </w:r>
          </w:p>
        </w:tc>
        <w:tc>
          <w:tcPr>
            <w:tcW w:type="dxa" w:w="648"/>
          </w:tcPr>
          <w:p>
            <w:pPr>
              <w:keepNext/>
              <w:spacing w:after="0"/>
              <w:jc w:val="center"/>
            </w:pPr>
            <w:r/>
            <w:r>
              <w:rPr>
                <w:rFonts w:ascii="Times New Roman" w:hAnsi="Times New Roman"/>
                <w:b w:val="0"/>
                <w:i w:val="0"/>
                <w:sz w:val="14"/>
              </w:rPr>
              <w:t>−0.20</w:t>
            </w:r>
          </w:p>
        </w:tc>
      </w:tr>
      <w:tr>
        <w:trPr>
          <w:cantSplit/>
        </w:trPr>
        <w:tc>
          <w:tcPr>
            <w:tcW w:type="dxa" w:w="1872"/>
          </w:tcPr>
          <w:p>
            <w:pPr>
              <w:keepNext/>
              <w:spacing w:after="0"/>
              <w:jc w:val="left"/>
            </w:pPr>
            <w:r/>
            <w:r>
              <w:rPr>
                <w:rFonts w:ascii="Times New Roman" w:hAnsi="Times New Roman"/>
                <w:b w:val="0"/>
                <w:i w:val="0"/>
                <w:sz w:val="14"/>
              </w:rPr>
              <w:t>Without H04</w:t>
            </w:r>
          </w:p>
        </w:tc>
        <w:tc>
          <w:tcPr>
            <w:tcW w:type="dxa" w:w="504"/>
          </w:tcPr>
          <w:p>
            <w:pPr>
              <w:keepNext/>
              <w:spacing w:after="0"/>
              <w:jc w:val="center"/>
            </w:pPr>
            <w:r/>
            <w:r>
              <w:rPr>
                <w:rFonts w:ascii="Times New Roman" w:hAnsi="Times New Roman"/>
                <w:b w:val="0"/>
                <w:i w:val="0"/>
                <w:sz w:val="14"/>
              </w:rPr>
              <w:t>138</w:t>
            </w:r>
          </w:p>
        </w:tc>
        <w:tc>
          <w:tcPr>
            <w:tcW w:type="dxa" w:w="605"/>
          </w:tcPr>
          <w:p>
            <w:pPr>
              <w:keepNext/>
              <w:spacing w:after="0"/>
              <w:jc w:val="center"/>
            </w:pPr>
            <w:r/>
            <w:r>
              <w:rPr>
                <w:rFonts w:ascii="Times New Roman" w:hAnsi="Times New Roman"/>
                <w:b w:val="0"/>
                <w:i w:val="0"/>
                <w:sz w:val="14"/>
              </w:rPr>
              <w:t>9</w:t>
            </w:r>
          </w:p>
        </w:tc>
        <w:tc>
          <w:tcPr>
            <w:tcW w:type="dxa" w:w="648"/>
          </w:tcPr>
          <w:p>
            <w:pPr>
              <w:keepNext/>
              <w:spacing w:after="0"/>
              <w:jc w:val="center"/>
            </w:pPr>
            <w:r/>
            <w:r>
              <w:rPr>
                <w:rFonts w:ascii="Times New Roman" w:hAnsi="Times New Roman"/>
                <w:b w:val="0"/>
                <w:i w:val="0"/>
                <w:sz w:val="14"/>
              </w:rPr>
              <w:t>−0.03</w:t>
            </w:r>
          </w:p>
        </w:tc>
        <w:tc>
          <w:tcPr>
            <w:tcW w:type="dxa" w:w="691"/>
          </w:tcPr>
          <w:p>
            <w:pPr>
              <w:keepNext/>
              <w:spacing w:after="0"/>
              <w:jc w:val="center"/>
            </w:pPr>
            <w:r/>
            <w:r>
              <w:rPr>
                <w:rFonts w:ascii="Times New Roman" w:hAnsi="Times New Roman"/>
                <w:b w:val="0"/>
                <w:i w:val="0"/>
                <w:sz w:val="14"/>
              </w:rPr>
              <w:t>−0.06</w:t>
            </w:r>
          </w:p>
        </w:tc>
        <w:tc>
          <w:tcPr>
            <w:tcW w:type="dxa" w:w="648"/>
          </w:tcPr>
          <w:p>
            <w:pPr>
              <w:keepNext/>
              <w:spacing w:after="0"/>
              <w:jc w:val="center"/>
            </w:pPr>
            <w:r/>
            <w:r>
              <w:rPr>
                <w:rFonts w:ascii="Times New Roman" w:hAnsi="Times New Roman"/>
                <w:b w:val="0"/>
                <w:i w:val="0"/>
                <w:sz w:val="14"/>
              </w:rPr>
              <w:t>−0.27</w:t>
            </w:r>
          </w:p>
        </w:tc>
      </w:tr>
      <w:tr>
        <w:trPr>
          <w:cantSplit/>
        </w:trPr>
        <w:tc>
          <w:tcPr>
            <w:tcW w:type="dxa" w:w="1872"/>
          </w:tcPr>
          <w:p>
            <w:pPr>
              <w:keepNext/>
              <w:spacing w:after="0"/>
              <w:jc w:val="left"/>
            </w:pPr>
            <w:r/>
            <w:r>
              <w:rPr>
                <w:rFonts w:ascii="Times New Roman" w:hAnsi="Times New Roman"/>
                <w:b w:val="0"/>
                <w:i w:val="0"/>
                <w:sz w:val="14"/>
              </w:rPr>
              <w:t>Without P12</w:t>
            </w:r>
          </w:p>
        </w:tc>
        <w:tc>
          <w:tcPr>
            <w:tcW w:type="dxa" w:w="504"/>
          </w:tcPr>
          <w:p>
            <w:pPr>
              <w:keepNext/>
              <w:spacing w:after="0"/>
              <w:jc w:val="center"/>
            </w:pPr>
            <w:r/>
            <w:r>
              <w:rPr>
                <w:rFonts w:ascii="Times New Roman" w:hAnsi="Times New Roman"/>
                <w:b w:val="0"/>
                <w:i w:val="0"/>
                <w:sz w:val="14"/>
              </w:rPr>
              <w:t>147</w:t>
            </w:r>
          </w:p>
        </w:tc>
        <w:tc>
          <w:tcPr>
            <w:tcW w:type="dxa" w:w="605"/>
          </w:tcPr>
          <w:p>
            <w:pPr>
              <w:keepNext/>
              <w:spacing w:after="0"/>
              <w:jc w:val="center"/>
            </w:pPr>
            <w:r/>
            <w:r>
              <w:rPr>
                <w:rFonts w:ascii="Times New Roman" w:hAnsi="Times New Roman"/>
                <w:b w:val="0"/>
                <w:i w:val="0"/>
                <w:sz w:val="14"/>
              </w:rPr>
              <w:t>9</w:t>
            </w:r>
          </w:p>
        </w:tc>
        <w:tc>
          <w:tcPr>
            <w:tcW w:type="dxa" w:w="648"/>
          </w:tcPr>
          <w:p>
            <w:pPr>
              <w:keepNext/>
              <w:spacing w:after="0"/>
              <w:jc w:val="center"/>
            </w:pPr>
            <w:r/>
            <w:r>
              <w:rPr>
                <w:rFonts w:ascii="Times New Roman" w:hAnsi="Times New Roman"/>
                <w:b w:val="0"/>
                <w:i w:val="0"/>
                <w:sz w:val="14"/>
              </w:rPr>
              <w:t>0.14</w:t>
            </w:r>
          </w:p>
        </w:tc>
        <w:tc>
          <w:tcPr>
            <w:tcW w:type="dxa" w:w="691"/>
          </w:tcPr>
          <w:p>
            <w:pPr>
              <w:keepNext/>
              <w:spacing w:after="0"/>
              <w:jc w:val="center"/>
            </w:pPr>
            <w:r/>
            <w:r>
              <w:rPr>
                <w:rFonts w:ascii="Times New Roman" w:hAnsi="Times New Roman"/>
                <w:b w:val="0"/>
                <w:i w:val="0"/>
                <w:sz w:val="14"/>
              </w:rPr>
              <w:t>−0.05</w:t>
            </w:r>
          </w:p>
        </w:tc>
        <w:tc>
          <w:tcPr>
            <w:tcW w:type="dxa" w:w="648"/>
          </w:tcPr>
          <w:p>
            <w:pPr>
              <w:keepNext/>
              <w:spacing w:after="0"/>
              <w:jc w:val="center"/>
            </w:pPr>
            <w:r/>
            <w:r>
              <w:rPr>
                <w:rFonts w:ascii="Times New Roman" w:hAnsi="Times New Roman"/>
                <w:b w:val="0"/>
                <w:i w:val="0"/>
                <w:sz w:val="14"/>
              </w:rPr>
              <w:t>−0.23</w:t>
            </w:r>
          </w:p>
        </w:tc>
      </w:tr>
      <w:tr>
        <w:trPr>
          <w:cantSplit/>
        </w:trPr>
        <w:tc>
          <w:tcPr>
            <w:tcW w:type="dxa" w:w="1872"/>
          </w:tcPr>
          <w:p>
            <w:pPr>
              <w:keepNext/>
              <w:spacing w:after="0"/>
              <w:jc w:val="left"/>
            </w:pPr>
            <w:r/>
            <w:r>
              <w:rPr>
                <w:rFonts w:ascii="Times New Roman" w:hAnsi="Times New Roman"/>
                <w:b w:val="0"/>
                <w:i w:val="0"/>
                <w:sz w:val="14"/>
              </w:rPr>
              <w:t>Without P13 (powder-mixed)</w:t>
            </w:r>
          </w:p>
        </w:tc>
        <w:tc>
          <w:tcPr>
            <w:tcW w:type="dxa" w:w="504"/>
          </w:tcPr>
          <w:p>
            <w:pPr>
              <w:keepNext/>
              <w:spacing w:after="0"/>
              <w:jc w:val="center"/>
            </w:pPr>
            <w:r/>
            <w:r>
              <w:rPr>
                <w:rFonts w:ascii="Times New Roman" w:hAnsi="Times New Roman"/>
                <w:b w:val="0"/>
                <w:i w:val="0"/>
                <w:sz w:val="14"/>
              </w:rPr>
              <w:t>147</w:t>
            </w:r>
          </w:p>
        </w:tc>
        <w:tc>
          <w:tcPr>
            <w:tcW w:type="dxa" w:w="605"/>
          </w:tcPr>
          <w:p>
            <w:pPr>
              <w:keepNext/>
              <w:spacing w:after="0"/>
              <w:jc w:val="center"/>
            </w:pPr>
            <w:r/>
            <w:r>
              <w:rPr>
                <w:rFonts w:ascii="Times New Roman" w:hAnsi="Times New Roman"/>
                <w:b w:val="0"/>
                <w:i w:val="0"/>
                <w:sz w:val="14"/>
              </w:rPr>
              <w:t>9</w:t>
            </w:r>
          </w:p>
        </w:tc>
        <w:tc>
          <w:tcPr>
            <w:tcW w:type="dxa" w:w="648"/>
          </w:tcPr>
          <w:p>
            <w:pPr>
              <w:keepNext/>
              <w:spacing w:after="0"/>
              <w:jc w:val="center"/>
            </w:pPr>
            <w:r/>
            <w:r>
              <w:rPr>
                <w:rFonts w:ascii="Times New Roman" w:hAnsi="Times New Roman"/>
                <w:b w:val="0"/>
                <w:i w:val="0"/>
                <w:sz w:val="14"/>
              </w:rPr>
              <w:t>0.07</w:t>
            </w:r>
          </w:p>
        </w:tc>
        <w:tc>
          <w:tcPr>
            <w:tcW w:type="dxa" w:w="691"/>
          </w:tcPr>
          <w:p>
            <w:pPr>
              <w:keepNext/>
              <w:spacing w:after="0"/>
              <w:jc w:val="center"/>
            </w:pPr>
            <w:r/>
            <w:r>
              <w:rPr>
                <w:rFonts w:ascii="Times New Roman" w:hAnsi="Times New Roman"/>
                <w:b w:val="0"/>
                <w:i w:val="0"/>
                <w:sz w:val="14"/>
              </w:rPr>
              <w:t>−0.18</w:t>
            </w:r>
          </w:p>
        </w:tc>
        <w:tc>
          <w:tcPr>
            <w:tcW w:type="dxa" w:w="648"/>
          </w:tcPr>
          <w:p>
            <w:pPr>
              <w:keepNext/>
              <w:spacing w:after="0"/>
              <w:jc w:val="center"/>
            </w:pPr>
            <w:r/>
            <w:r>
              <w:rPr>
                <w:rFonts w:ascii="Times New Roman" w:hAnsi="Times New Roman"/>
                <w:b w:val="0"/>
                <w:i w:val="0"/>
                <w:sz w:val="14"/>
              </w:rPr>
              <w:t>−0.24</w:t>
            </w:r>
          </w:p>
        </w:tc>
      </w:tr>
      <w:tr>
        <w:trPr>
          <w:cantSplit/>
        </w:trPr>
        <w:tc>
          <w:tcPr>
            <w:tcW w:type="dxa" w:w="1872"/>
          </w:tcPr>
          <w:p>
            <w:pPr>
              <w:keepNext/>
              <w:spacing w:after="0"/>
              <w:jc w:val="left"/>
            </w:pPr>
            <w:r/>
            <w:r>
              <w:rPr>
                <w:rFonts w:ascii="Times New Roman" w:hAnsi="Times New Roman"/>
                <w:b w:val="0"/>
                <w:i w:val="0"/>
                <w:sz w:val="14"/>
              </w:rPr>
              <w:t>Without P01, H18 (density)</w:t>
            </w:r>
          </w:p>
        </w:tc>
        <w:tc>
          <w:tcPr>
            <w:tcW w:type="dxa" w:w="504"/>
          </w:tcPr>
          <w:p>
            <w:pPr>
              <w:keepNext/>
              <w:spacing w:after="0"/>
              <w:jc w:val="center"/>
            </w:pPr>
            <w:r/>
            <w:r>
              <w:rPr>
                <w:rFonts w:ascii="Times New Roman" w:hAnsi="Times New Roman"/>
                <w:b w:val="0"/>
                <w:i w:val="0"/>
                <w:sz w:val="14"/>
              </w:rPr>
              <w:t>117</w:t>
            </w:r>
          </w:p>
        </w:tc>
        <w:tc>
          <w:tcPr>
            <w:tcW w:type="dxa" w:w="605"/>
          </w:tcPr>
          <w:p>
            <w:pPr>
              <w:keepNext/>
              <w:spacing w:after="0"/>
              <w:jc w:val="center"/>
            </w:pPr>
            <w:r/>
            <w:r>
              <w:rPr>
                <w:rFonts w:ascii="Times New Roman" w:hAnsi="Times New Roman"/>
                <w:b w:val="0"/>
                <w:i w:val="0"/>
                <w:sz w:val="14"/>
              </w:rPr>
              <w:t>8</w:t>
            </w:r>
          </w:p>
        </w:tc>
        <w:tc>
          <w:tcPr>
            <w:tcW w:type="dxa" w:w="648"/>
          </w:tcPr>
          <w:p>
            <w:pPr>
              <w:keepNext/>
              <w:spacing w:after="0"/>
              <w:jc w:val="center"/>
            </w:pPr>
            <w:r/>
            <w:r>
              <w:rPr>
                <w:rFonts w:ascii="Times New Roman" w:hAnsi="Times New Roman"/>
                <w:b w:val="0"/>
                <w:i w:val="0"/>
                <w:sz w:val="14"/>
              </w:rPr>
              <w:t>−0.25</w:t>
            </w:r>
          </w:p>
        </w:tc>
        <w:tc>
          <w:tcPr>
            <w:tcW w:type="dxa" w:w="691"/>
          </w:tcPr>
          <w:p>
            <w:pPr>
              <w:keepNext/>
              <w:spacing w:after="0"/>
              <w:jc w:val="center"/>
            </w:pPr>
            <w:r/>
            <w:r>
              <w:rPr>
                <w:rFonts w:ascii="Times New Roman" w:hAnsi="Times New Roman"/>
                <w:b w:val="0"/>
                <w:i w:val="0"/>
                <w:sz w:val="14"/>
              </w:rPr>
              <w:t>−0.21</w:t>
            </w:r>
          </w:p>
        </w:tc>
        <w:tc>
          <w:tcPr>
            <w:tcW w:type="dxa" w:w="648"/>
          </w:tcPr>
          <w:p>
            <w:pPr>
              <w:keepNext/>
              <w:spacing w:after="0"/>
              <w:jc w:val="center"/>
            </w:pPr>
            <w:r/>
            <w:r>
              <w:rPr>
                <w:rFonts w:ascii="Times New Roman" w:hAnsi="Times New Roman"/>
                <w:b w:val="0"/>
                <w:i w:val="0"/>
                <w:sz w:val="14"/>
              </w:rPr>
              <w:t>−0.24</w:t>
            </w:r>
          </w:p>
        </w:tc>
      </w:tr>
      <w:tr>
        <w:trPr>
          <w:cantSplit/>
        </w:trPr>
        <w:tc>
          <w:tcPr>
            <w:tcW w:type="dxa" w:w="1872"/>
          </w:tcPr>
          <w:p>
            <w:pPr>
              <w:keepNext/>
              <w:spacing w:after="0"/>
              <w:jc w:val="left"/>
            </w:pPr>
            <w:r/>
            <w:r>
              <w:rPr>
                <w:rFonts w:ascii="Times New Roman" w:hAnsi="Times New Roman"/>
                <w:b w:val="0"/>
                <w:i w:val="0"/>
                <w:sz w:val="14"/>
              </w:rPr>
              <w:t>Original six studies only</w:t>
            </w:r>
          </w:p>
        </w:tc>
        <w:tc>
          <w:tcPr>
            <w:tcW w:type="dxa" w:w="504"/>
          </w:tcPr>
          <w:p>
            <w:pPr>
              <w:keepNext/>
              <w:spacing w:after="0"/>
              <w:jc w:val="center"/>
            </w:pPr>
            <w:r/>
            <w:r>
              <w:rPr>
                <w:rFonts w:ascii="Times New Roman" w:hAnsi="Times New Roman"/>
                <w:b w:val="0"/>
                <w:i w:val="0"/>
                <w:sz w:val="14"/>
              </w:rPr>
              <w:t>93</w:t>
            </w:r>
          </w:p>
        </w:tc>
        <w:tc>
          <w:tcPr>
            <w:tcW w:type="dxa" w:w="605"/>
          </w:tcPr>
          <w:p>
            <w:pPr>
              <w:keepNext/>
              <w:spacing w:after="0"/>
              <w:jc w:val="center"/>
            </w:pPr>
            <w:r/>
            <w:r>
              <w:rPr>
                <w:rFonts w:ascii="Times New Roman" w:hAnsi="Times New Roman"/>
                <w:b w:val="0"/>
                <w:i w:val="0"/>
                <w:sz w:val="14"/>
              </w:rPr>
              <w:t>6</w:t>
            </w:r>
          </w:p>
        </w:tc>
        <w:tc>
          <w:tcPr>
            <w:tcW w:type="dxa" w:w="648"/>
          </w:tcPr>
          <w:p>
            <w:pPr>
              <w:keepNext/>
              <w:spacing w:after="0"/>
              <w:jc w:val="center"/>
            </w:pPr>
            <w:r/>
            <w:r>
              <w:rPr>
                <w:rFonts w:ascii="Times New Roman" w:hAnsi="Times New Roman"/>
                <w:b w:val="0"/>
                <w:i w:val="0"/>
                <w:sz w:val="14"/>
              </w:rPr>
              <w:t>−0.13</w:t>
            </w:r>
          </w:p>
        </w:tc>
        <w:tc>
          <w:tcPr>
            <w:tcW w:type="dxa" w:w="691"/>
          </w:tcPr>
          <w:p>
            <w:pPr>
              <w:keepNext/>
              <w:spacing w:after="0"/>
              <w:jc w:val="center"/>
            </w:pPr>
            <w:r/>
            <w:r>
              <w:rPr>
                <w:rFonts w:ascii="Times New Roman" w:hAnsi="Times New Roman"/>
                <w:b w:val="0"/>
                <w:i w:val="0"/>
                <w:sz w:val="14"/>
              </w:rPr>
              <w:t>0.05</w:t>
            </w:r>
          </w:p>
        </w:tc>
        <w:tc>
          <w:tcPr>
            <w:tcW w:type="dxa" w:w="648"/>
          </w:tcPr>
          <w:p>
            <w:pPr>
              <w:keepNext/>
              <w:spacing w:after="0"/>
              <w:jc w:val="center"/>
            </w:pPr>
            <w:r/>
            <w:r>
              <w:rPr>
                <w:rFonts w:ascii="Times New Roman" w:hAnsi="Times New Roman"/>
                <w:b w:val="0"/>
                <w:i w:val="0"/>
                <w:sz w:val="14"/>
              </w:rPr>
              <w:t>−0.50</w:t>
            </w:r>
          </w:p>
        </w:tc>
      </w:tr>
    </w:tbl>
    <w:p>
      <w:pPr>
        <w:keepNext w:val="0"/>
        <w:spacing w:after="120" w:before="0"/>
        <w:jc w:val="left"/>
      </w:pPr>
    </w:p>
    <w:p>
      <w:pPr>
        <w:keepNext w:val="0"/>
        <w:spacing w:after="40" w:before="0"/>
        <w:ind w:firstLine="202"/>
        <w:jc w:val="both"/>
      </w:pPr>
      <w:r>
        <w:rPr>
          <w:rFonts w:ascii="Times New Roman" w:hAnsi="Times New Roman"/>
          <w:b w:val="0"/>
          <w:i w:val="0"/>
          <w:sz w:val="20"/>
        </w:rPr>
        <w:t>Table VII repeats the LOPO evaluation after removing each questionable part of the data. The conclusions about the nonlinear models hold in every subset: the best of the 10 nonlinear model variants never exceeds R</w:t>
      </w:r>
      <w:r>
        <w:rPr>
          <w:rFonts w:ascii="Times New Roman" w:hAnsi="Times New Roman"/>
          <w:b w:val="0"/>
          <w:i w:val="0"/>
          <w:sz w:val="20"/>
          <w:vertAlign w:val="superscript"/>
        </w:rPr>
        <w:t>2</w:t>
      </w:r>
      <w:r>
        <w:rPr>
          <w:rFonts w:ascii="Times New Roman" w:hAnsi="Times New Roman"/>
          <w:b w:val="0"/>
          <w:i w:val="0"/>
          <w:sz w:val="20"/>
        </w:rPr>
        <w:t xml:space="preserve"> = 0.05. The small positive R</w:t>
      </w:r>
      <w:r>
        <w:rPr>
          <w:rFonts w:ascii="Times New Roman" w:hAnsi="Times New Roman"/>
          <w:b w:val="0"/>
          <w:i w:val="0"/>
          <w:sz w:val="20"/>
          <w:vertAlign w:val="superscript"/>
        </w:rPr>
        <w:t>2</w:t>
      </w:r>
      <w:r>
        <w:rPr>
          <w:rFonts w:ascii="Times New Roman" w:hAnsi="Times New Roman"/>
          <w:b w:val="0"/>
          <w:i w:val="0"/>
          <w:sz w:val="20"/>
        </w:rPr>
        <w:t xml:space="preserve"> of ridge regression is not robust: it ranges from −0.25 to 0.14 across subsets and falls to −0.25, about the level of the baseline (−0.24), when the two studies whose density had to be taken from other studies are removed. On the original six studies the pipeline matches the headline numbers of the preliminary version: the best LOPO model is again SVR on the base inputs (R</w:t>
      </w:r>
      <w:r>
        <w:rPr>
          <w:rFonts w:ascii="Times New Roman" w:hAnsi="Times New Roman"/>
          <w:b w:val="0"/>
          <w:i w:val="0"/>
          <w:sz w:val="20"/>
          <w:vertAlign w:val="superscript"/>
        </w:rPr>
        <w:t>2</w:t>
      </w:r>
      <w:r>
        <w:rPr>
          <w:rFonts w:ascii="Times New Roman" w:hAnsi="Times New Roman"/>
          <w:b w:val="0"/>
          <w:i w:val="0"/>
          <w:sz w:val="20"/>
        </w:rPr>
        <w:t xml:space="preserve"> = 0.05, typical error ×6.4, against 0.05 and ×6.4 before), and the mean baseline gives −0.50 and ×11.9 (before −0.50 and ×11.8). Individual nonlinear models differ more (for example, the ANN with physics features gives −1.19 against −0.36 before); the inputs differ from the preliminary version in the property values, now taken from the source studies, and in the corrected pulse-on levels of [22], which may explain this.</w:t>
      </w:r>
    </w:p>
    <w:p>
      <w:pPr>
        <w:keepNext/>
        <w:spacing w:after="60" w:before="160"/>
        <w:jc w:val="center"/>
      </w:pPr>
      <w:r>
        <w:rPr>
          <w:rFonts w:ascii="Times New Roman" w:hAnsi="Times New Roman"/>
          <w:b w:val="0"/>
          <w:i w:val="0"/>
          <w:sz w:val="20"/>
        </w:rPr>
        <w:t>V. DISCUSSION</w:t>
      </w:r>
    </w:p>
    <w:p>
      <w:pPr>
        <w:keepNext/>
        <w:spacing w:after="40" w:before="80"/>
        <w:jc w:val="left"/>
      </w:pPr>
      <w:r>
        <w:rPr>
          <w:rFonts w:ascii="Times New Roman" w:hAnsi="Times New Roman"/>
          <w:b w:val="0"/>
          <w:i/>
          <w:sz w:val="20"/>
        </w:rPr>
        <w:t>A. Why Random Splits Look Good</w:t>
      </w:r>
    </w:p>
    <w:p>
      <w:pPr>
        <w:keepNext w:val="0"/>
        <w:spacing w:after="40" w:before="0"/>
        <w:ind w:firstLine="202"/>
        <w:jc w:val="both"/>
      </w:pPr>
      <w:r>
        <w:rPr>
          <w:rFonts w:ascii="Times New Roman" w:hAnsi="Times New Roman"/>
          <w:b w:val="0"/>
          <w:i w:val="0"/>
          <w:sz w:val="20"/>
        </w:rPr>
        <w:t>The gap between random CV (R</w:t>
      </w:r>
      <w:r>
        <w:rPr>
          <w:rFonts w:ascii="Times New Roman" w:hAnsi="Times New Roman"/>
          <w:b w:val="0"/>
          <w:i w:val="0"/>
          <w:sz w:val="20"/>
          <w:vertAlign w:val="superscript"/>
        </w:rPr>
        <w:t>2</w:t>
      </w:r>
      <w:r>
        <w:rPr>
          <w:rFonts w:ascii="Times New Roman" w:hAnsi="Times New Roman"/>
          <w:b w:val="0"/>
          <w:i w:val="0"/>
          <w:sz w:val="20"/>
        </w:rPr>
        <w:t xml:space="preserve"> ≈ 0.6) and LOPO (R</w:t>
      </w:r>
      <w:r>
        <w:rPr>
          <w:rFonts w:ascii="Times New Roman" w:hAnsi="Times New Roman"/>
          <w:b w:val="0"/>
          <w:i w:val="0"/>
          <w:sz w:val="20"/>
          <w:vertAlign w:val="superscript"/>
        </w:rPr>
        <w:t>2</w:t>
      </w:r>
      <w:r>
        <w:rPr>
          <w:rFonts w:ascii="Times New Roman" w:hAnsi="Times New Roman"/>
          <w:b w:val="0"/>
          <w:i w:val="0"/>
          <w:sz w:val="20"/>
        </w:rPr>
        <w:t xml:space="preserve"> ≤ 0.12) is the main finding. Runs from one study share a machine, a measuring method, an electrode batch, a machining time and a parameter range, so a random split lets a model learn each study's wear level and then interpolate between that study's runs. That the level of each held-out study accounts for more than half of the squared LOPO error shows that this level is what dominates TWR across studies. Most published EDM models are evaluated in the random-split setting [9]–[11], so their high R</w:t>
      </w:r>
      <w:r>
        <w:rPr>
          <w:rFonts w:ascii="Times New Roman" w:hAnsi="Times New Roman"/>
          <w:b w:val="0"/>
          <w:i w:val="0"/>
          <w:sz w:val="20"/>
          <w:vertAlign w:val="superscript"/>
        </w:rPr>
        <w:t>2</w:t>
      </w:r>
      <w:r>
        <w:rPr>
          <w:rFonts w:ascii="Times New Roman" w:hAnsi="Times New Roman"/>
          <w:b w:val="0"/>
          <w:i w:val="0"/>
          <w:sz w:val="20"/>
        </w:rPr>
        <w:t xml:space="preserve"> values describe accuracy within one laboratory rather than transfer to a new one [12].</w:t>
      </w:r>
    </w:p>
    <w:p>
      <w:pPr>
        <w:keepNext/>
        <w:spacing w:after="40" w:before="80"/>
        <w:jc w:val="left"/>
      </w:pPr>
      <w:r>
        <w:rPr>
          <w:rFonts w:ascii="Times New Roman" w:hAnsi="Times New Roman"/>
          <w:b w:val="0"/>
          <w:i/>
          <w:sz w:val="20"/>
        </w:rPr>
        <w:t>B. Why the Physics Features Did Not Help Under LOPO</w:t>
      </w:r>
    </w:p>
    <w:p>
      <w:pPr>
        <w:keepNext w:val="0"/>
        <w:spacing w:after="40" w:before="0"/>
        <w:ind w:firstLine="202"/>
        <w:jc w:val="both"/>
      </w:pPr>
      <w:r>
        <w:rPr>
          <w:rFonts w:ascii="Times New Roman" w:hAnsi="Times New Roman"/>
          <w:b w:val="0"/>
          <w:i w:val="0"/>
          <w:sz w:val="20"/>
        </w:rPr>
        <w:t>The six-study version suggested that physics features would become useful once several studies share electrode materials. The extended dataset tests this: copper now appears in 9 studies, graphite in 4 and brass in 3, yet the physics features did not improve LOPO accuracy; they lowered R</w:t>
      </w:r>
      <w:r>
        <w:rPr>
          <w:rFonts w:ascii="Times New Roman" w:hAnsi="Times New Roman"/>
          <w:b w:val="0"/>
          <w:i w:val="0"/>
          <w:sz w:val="20"/>
          <w:vertAlign w:val="superscript"/>
        </w:rPr>
        <w:t>2</w:t>
      </w:r>
      <w:r>
        <w:rPr>
          <w:rFonts w:ascii="Times New Roman" w:hAnsi="Times New Roman"/>
          <w:b w:val="0"/>
          <w:i w:val="0"/>
          <w:sz w:val="20"/>
        </w:rPr>
        <w:t xml:space="preserve"> for ridge and for four of the five nonlinear models. Electrode properties explain part of the between-material differences within studies that compare electrodes, but the between-study differences in level are larger and are not explained by electrode, workpiece or dielectric. They more plausibly come from what the features do not describe: polarity (unknown for a third of the runs), machining time, electrode geometry, flushing and the way wear was measured. Where measurement quality is doubtful, as for [24] and [4], the reported level may not be meaningful at all.</w:t>
      </w:r>
    </w:p>
    <w:p>
      <w:pPr>
        <w:keepNext/>
        <w:spacing w:after="40" w:before="80"/>
        <w:jc w:val="left"/>
      </w:pPr>
      <w:r>
        <w:rPr>
          <w:rFonts w:ascii="Times New Roman" w:hAnsi="Times New Roman"/>
          <w:b w:val="0"/>
          <w:i/>
          <w:sz w:val="20"/>
        </w:rPr>
        <w:t>C. What Transfers</w:t>
      </w:r>
    </w:p>
    <w:p>
      <w:pPr>
        <w:keepNext w:val="0"/>
        <w:spacing w:after="40" w:before="0"/>
        <w:ind w:firstLine="202"/>
        <w:jc w:val="both"/>
      </w:pPr>
      <w:r>
        <w:rPr>
          <w:rFonts w:ascii="Times New Roman" w:hAnsi="Times New Roman"/>
          <w:b w:val="0"/>
          <w:i w:val="0"/>
          <w:sz w:val="20"/>
        </w:rPr>
        <w:t>What does transfer is the within-study effect of peak current, the most consistent finding of the EDM literature [1], [2]. A model fitted only to the within-study variation of peak current orders the runs of a new study better than any absolute model and, with a few runs to fix the level, predicts 9–10% better than those runs alone. The gain is real but modest, and the more flexible within-study models gained nothing, which suggests that the shared signal is close to a single monotone trend and that 10 studies are too few to learn interactions that hold across laboratories.</w:t>
      </w:r>
    </w:p>
    <w:p>
      <w:pPr>
        <w:keepNext/>
        <w:spacing w:after="40" w:before="80"/>
        <w:jc w:val="left"/>
      </w:pPr>
      <w:r>
        <w:rPr>
          <w:rFonts w:ascii="Times New Roman" w:hAnsi="Times New Roman"/>
          <w:b w:val="0"/>
          <w:i/>
          <w:sz w:val="20"/>
        </w:rPr>
        <w:t>D. Practical Implications</w:t>
      </w:r>
    </w:p>
    <w:p>
      <w:pPr>
        <w:keepNext w:val="0"/>
        <w:spacing w:after="40" w:before="0"/>
        <w:ind w:firstLine="202"/>
        <w:jc w:val="both"/>
      </w:pPr>
      <w:r>
        <w:rPr>
          <w:rFonts w:ascii="Times New Roman" w:hAnsi="Times New Roman"/>
          <w:b w:val="0"/>
          <w:i w:val="0"/>
          <w:sz w:val="20"/>
        </w:rPr>
        <w:t>For a practitioner with a new machine, electrode or workpiece, the results suggest three steps: run a few calibration cuts, use their mean as the level, and adjust between settings with a simple monotone model of peak current. For researchers, they suggest reporting grouped validation alongside random splits whenever a model is meant to be used outside the laboratory that produced its data, and reporting polarity, machining time, electrode geometry and the balance resolution so that compiled datasets can describe the differences between studies.</w:t>
      </w:r>
    </w:p>
    <w:p>
      <w:pPr>
        <w:keepNext/>
        <w:spacing w:after="60" w:before="160"/>
        <w:jc w:val="center"/>
      </w:pPr>
      <w:r>
        <w:rPr>
          <w:rFonts w:ascii="Times New Roman" w:hAnsi="Times New Roman"/>
          <w:b w:val="0"/>
          <w:i w:val="0"/>
          <w:sz w:val="20"/>
        </w:rPr>
        <w:t>VI. LIMITATIONS</w:t>
      </w:r>
    </w:p>
    <w:p>
      <w:pPr>
        <w:keepNext w:val="0"/>
        <w:spacing w:after="40" w:before="0"/>
        <w:ind w:firstLine="202"/>
        <w:jc w:val="both"/>
      </w:pPr>
      <w:r>
        <w:rPr>
          <w:rFonts w:ascii="Times New Roman" w:hAnsi="Times New Roman"/>
          <w:b w:val="0"/>
          <w:i w:val="0"/>
          <w:sz w:val="20"/>
        </w:rPr>
        <w:t>The dataset has 156 runs from 10 studies, so each LOPO fold holds out a single study and the estimates are noisy; six of the studies have only nine runs. Two studies with usable tables [18], [19] could not be retrieved, and more remain to be screened. Several inputs are missing too often to be used (polarity, gap voltage), and the electrode properties are medians of values reported in the source studies or approximate handbook values. The TWR of one study is derived from EWR% and MRR, three zero values were replaced by a small constant, two studies required a density taken from other studies, and the data of two studies are physically questionable (Section III-B); removing any of these does not change the conclusions about the nonlinear models, but it can remove the small advantage of ridge regression (Table VII). Finally, the studies measure wear differently (mass loss or volume, different machining times and electrode geometries), which the current features do not describe.</w:t>
      </w:r>
    </w:p>
    <w:p>
      <w:pPr>
        <w:keepNext/>
        <w:spacing w:after="60" w:before="160"/>
        <w:jc w:val="center"/>
      </w:pPr>
      <w:r>
        <w:rPr>
          <w:rFonts w:ascii="Times New Roman" w:hAnsi="Times New Roman"/>
          <w:b w:val="0"/>
          <w:i w:val="0"/>
          <w:sz w:val="20"/>
        </w:rPr>
        <w:t>VII. CONCLUSION</w:t>
      </w:r>
    </w:p>
    <w:p>
      <w:pPr>
        <w:keepNext w:val="0"/>
        <w:spacing w:after="40" w:before="0"/>
        <w:ind w:firstLine="202"/>
        <w:jc w:val="both"/>
      </w:pPr>
      <w:r>
        <w:rPr>
          <w:rFonts w:ascii="Times New Roman" w:hAnsi="Times New Roman"/>
          <w:b w:val="0"/>
          <w:i w:val="0"/>
          <w:sz w:val="20"/>
        </w:rPr>
        <w:t>A TWR dataset compiled from 10 published die-sinking EDM studies was used to compare ridge regression, random forest, XGBoost, ANN, SVR and a stacked ensemble. When runs from the same study appear in both training and test data, the models reach R</w:t>
      </w:r>
      <w:r>
        <w:rPr>
          <w:rFonts w:ascii="Times New Roman" w:hAnsi="Times New Roman"/>
          <w:b w:val="0"/>
          <w:i w:val="0"/>
          <w:sz w:val="20"/>
          <w:vertAlign w:val="superscript"/>
        </w:rPr>
        <w:t>2</w:t>
      </w:r>
      <w:r>
        <w:rPr>
          <w:rFonts w:ascii="Times New Roman" w:hAnsi="Times New Roman"/>
          <w:b w:val="0"/>
          <w:i w:val="0"/>
          <w:sz w:val="20"/>
        </w:rPr>
        <w:t xml:space="preserve"> of about 0.6 on log</w:t>
      </w:r>
      <w:r>
        <w:rPr>
          <w:rFonts w:ascii="Times New Roman" w:hAnsi="Times New Roman"/>
          <w:b w:val="0"/>
          <w:i w:val="0"/>
          <w:sz w:val="20"/>
          <w:vertAlign w:val="subscript"/>
        </w:rPr>
        <w:t>10</w:t>
      </w:r>
      <w:r>
        <w:rPr>
          <w:rFonts w:ascii="Times New Roman" w:hAnsi="Times New Roman"/>
          <w:b w:val="0"/>
          <w:i w:val="0"/>
          <w:sz w:val="20"/>
        </w:rPr>
        <w:t>(TWR). When a whole study is held out, no model transfers reliably: the nonlinear models fall below zero and lose even the ordering of the runs that peak current alone provides, and the small positive R</w:t>
      </w:r>
      <w:r>
        <w:rPr>
          <w:rFonts w:ascii="Times New Roman" w:hAnsi="Times New Roman"/>
          <w:b w:val="0"/>
          <w:i w:val="0"/>
          <w:sz w:val="20"/>
          <w:vertAlign w:val="superscript"/>
        </w:rPr>
        <w:t>2</w:t>
      </w:r>
      <w:r>
        <w:rPr>
          <w:rFonts w:ascii="Times New Roman" w:hAnsi="Times New Roman"/>
          <w:b w:val="0"/>
          <w:i w:val="0"/>
          <w:sz w:val="20"/>
        </w:rPr>
        <w:t xml:space="preserve"> of ridge regression depends on which studies are included. Most of the error is the overall wear level of each study. Models fitted to within-study variation, with the level set from a few runs of the new study, were the only approach that improved on those runs alone, by 9–10% for a model of peak current. Random splits therefore overstate how well TWR models transfer to new laboratories. The next steps are to add the remaining studies, to fill in polarity and machining time, and to fit full multilevel models with study-level predictors.</w:t>
      </w:r>
    </w:p>
    <w:p>
      <w:pPr>
        <w:keepNext/>
        <w:spacing w:after="60" w:before="160"/>
        <w:jc w:val="center"/>
      </w:pPr>
      <w:r>
        <w:rPr>
          <w:rFonts w:ascii="Times New Roman" w:hAnsi="Times New Roman"/>
          <w:b w:val="0"/>
          <w:i w:val="0"/>
          <w:sz w:val="20"/>
        </w:rPr>
        <w:t>DATA AND CODE AVAILABILITY</w:t>
      </w:r>
    </w:p>
    <w:p>
      <w:pPr>
        <w:keepNext w:val="0"/>
        <w:spacing w:after="40" w:before="0"/>
        <w:jc w:val="both"/>
      </w:pPr>
      <w:r>
        <w:rPr>
          <w:rFonts w:ascii="Times New Roman" w:hAnsi="Times New Roman"/>
          <w:b w:val="0"/>
          <w:i w:val="0"/>
          <w:sz w:val="20"/>
        </w:rPr>
        <w:t>The compiled dataset, the per-study raw tables, the extraction and checking scripts, a download script and checksums for the source articles, the analysis code and all result files are available at https://github.com/Ayush-Singh0583/NTM.</w:t>
      </w:r>
    </w:p>
    <w:p>
      <w:pPr>
        <w:keepNext/>
        <w:spacing w:after="60" w:before="160"/>
        <w:jc w:val="center"/>
      </w:pPr>
      <w:r>
        <w:rPr>
          <w:rFonts w:ascii="Times New Roman" w:hAnsi="Times New Roman"/>
          <w:b w:val="0"/>
          <w:i w:val="0"/>
          <w:sz w:val="20"/>
        </w:rPr>
        <w:t>ACKNOWLEDGMENT</w:t>
      </w:r>
    </w:p>
    <w:p>
      <w:pPr>
        <w:keepNext w:val="0"/>
        <w:spacing w:after="40" w:before="0"/>
        <w:jc w:val="both"/>
      </w:pPr>
      <w:r>
        <w:rPr>
          <w:rFonts w:ascii="Times New Roman" w:hAnsi="Times New Roman"/>
          <w:b w:val="0"/>
          <w:i w:val="0"/>
          <w:sz w:val="20"/>
        </w:rPr>
        <w:t>The authors thank Shanthala Kollur for guidance.</w:t>
      </w:r>
    </w:p>
    <w:p>
      <w:pPr>
        <w:keepNext/>
        <w:spacing w:after="60" w:before="160"/>
        <w:jc w:val="center"/>
      </w:pPr>
      <w:r>
        <w:rPr>
          <w:rFonts w:ascii="Times New Roman" w:hAnsi="Times New Roman"/>
          <w:b w:val="0"/>
          <w:i w:val="0"/>
          <w:sz w:val="20"/>
        </w:rPr>
        <w:t>REFERENCES</w:t>
      </w:r>
    </w:p>
    <w:p>
      <w:pPr>
        <w:spacing w:after="20"/>
        <w:ind w:left="432" w:hanging="432"/>
        <w:jc w:val="left"/>
      </w:pPr>
      <w:r>
        <w:rPr>
          <w:rFonts w:ascii="Times New Roman" w:hAnsi="Times New Roman"/>
          <w:b w:val="0"/>
          <w:i w:val="0"/>
          <w:sz w:val="16"/>
        </w:rPr>
        <w:t>[1]</w:t>
        <w:tab/>
        <w:t>K. H. Ho and S. T. Newman, "State of the art electrical discharge machining (EDM)," Int. J. Mach. Tools Manuf., vol. 43, no. 13, pp. 1287–1300, 2003, doi: 10.1016/S0890-6955(03)00162-7.</w:t>
      </w:r>
    </w:p>
    <w:p>
      <w:pPr>
        <w:spacing w:after="20"/>
        <w:ind w:left="432" w:hanging="432"/>
        <w:jc w:val="left"/>
      </w:pPr>
      <w:r>
        <w:rPr>
          <w:rFonts w:ascii="Times New Roman" w:hAnsi="Times New Roman"/>
          <w:b w:val="0"/>
          <w:i w:val="0"/>
          <w:sz w:val="16"/>
        </w:rPr>
        <w:t>[2]</w:t>
        <w:tab/>
        <w:t>M. Kunieda, B. Lauwers, K. P. Rajurkar, and B. M. Schumacher, "Advancing EDM through fundamental insight into the process," CIRP Ann., vol. 54, no. 2, pp. 64–87, 2005, doi: 10.1016/S0007-8506(07)60020-1.</w:t>
      </w:r>
    </w:p>
    <w:p>
      <w:pPr>
        <w:spacing w:after="20"/>
        <w:ind w:left="432" w:hanging="432"/>
        <w:jc w:val="left"/>
      </w:pPr>
      <w:r>
        <w:rPr>
          <w:rFonts w:ascii="Times New Roman" w:hAnsi="Times New Roman"/>
          <w:b w:val="0"/>
          <w:i w:val="0"/>
          <w:sz w:val="16"/>
        </w:rPr>
        <w:t>[3]</w:t>
        <w:tab/>
        <w:t>M. M. Bahgat, A. Y. Shash, M. Abd-Rabou, and I. S. El-Mahallawi, "Influence of process parameters in electrical discharge machining on H13 die steel," Heliyon, vol. 5, no. 6, Art. no. e01813, 2019, doi: 10.1016/j.heliyon.2019.e01813.</w:t>
      </w:r>
    </w:p>
    <w:p>
      <w:pPr>
        <w:spacing w:after="20"/>
        <w:ind w:left="432" w:hanging="432"/>
        <w:jc w:val="left"/>
      </w:pPr>
      <w:r>
        <w:rPr>
          <w:rFonts w:ascii="Times New Roman" w:hAnsi="Times New Roman"/>
          <w:b w:val="0"/>
          <w:i w:val="0"/>
          <w:sz w:val="16"/>
        </w:rPr>
        <w:t>[4]</w:t>
        <w:tab/>
        <w:t>M. P. G. Chandrashekarappa, S. Kumar, J. Jagadish, D. Y. Pimenov, and K. Giasin, "Experimental analysis and optimization of EDM parameters on HcHcr steel in context with different electrodes and dielectric fluids using hybrid Taguchi-based PCA-utility and CRITIC-utility approaches," Metals, vol. 11, no. 3, Art. no. 419, 2021, doi: 10.3390/met11030419.</w:t>
      </w:r>
    </w:p>
    <w:p>
      <w:pPr>
        <w:spacing w:after="20"/>
        <w:ind w:left="432" w:hanging="432"/>
        <w:jc w:val="left"/>
      </w:pPr>
      <w:r>
        <w:rPr>
          <w:rFonts w:ascii="Times New Roman" w:hAnsi="Times New Roman"/>
          <w:b w:val="0"/>
          <w:i w:val="0"/>
          <w:sz w:val="16"/>
        </w:rPr>
        <w:t>[5]</w:t>
        <w:tab/>
        <w:t>M. Jagdale et al., "Performance evaluation and multi-objective optimization of EDM parameters for Ti6Al4V using different tool electrodes," Sci. Rep., vol. 15, Art. no. 30239, 2025, doi: 10.1038/s41598-025-15756-5.</w:t>
      </w:r>
    </w:p>
    <w:p>
      <w:pPr>
        <w:spacing w:after="20"/>
        <w:ind w:left="432" w:hanging="432"/>
        <w:jc w:val="left"/>
      </w:pPr>
      <w:r>
        <w:rPr>
          <w:rFonts w:ascii="Times New Roman" w:hAnsi="Times New Roman"/>
          <w:b w:val="0"/>
          <w:i w:val="0"/>
          <w:sz w:val="16"/>
        </w:rPr>
        <w:t>[6]</w:t>
        <w:tab/>
        <w:t>N. Ahmed, "Machining and wear rates in EDM of D2 steel: A comparative study of electrode designs and materials," J. Mater. Res. Technol., vol. 30, pp. 1978–1991, 2024, doi: 10.1016/j.jmrt.2024.03.242.</w:t>
      </w:r>
    </w:p>
    <w:p>
      <w:pPr>
        <w:spacing w:after="20"/>
        <w:ind w:left="432" w:hanging="432"/>
        <w:jc w:val="left"/>
      </w:pPr>
      <w:r>
        <w:rPr>
          <w:rFonts w:ascii="Times New Roman" w:hAnsi="Times New Roman"/>
          <w:b w:val="0"/>
          <w:i w:val="0"/>
          <w:sz w:val="16"/>
        </w:rPr>
        <w:t>[7]</w:t>
        <w:tab/>
        <w:t>G. C. Carlini, R. Blödorn, R. Davis, R. D. Torres, and F. L. Amorim, "Unraveling the technological performance of low-energy ED-machining for processing Inconel 718 alloy: A comparative study of electrode materials," Int. J. Adv. Manuf. Technol., vol. 131, no. 9–10, pp. 4755–4772, 2024, doi: 10.1007/s00170-024-13334-z.</w:t>
      </w:r>
    </w:p>
    <w:p>
      <w:pPr>
        <w:spacing w:after="20"/>
        <w:ind w:left="432" w:hanging="432"/>
        <w:jc w:val="left"/>
      </w:pPr>
      <w:r>
        <w:rPr>
          <w:rFonts w:ascii="Times New Roman" w:hAnsi="Times New Roman"/>
          <w:b w:val="0"/>
          <w:i w:val="0"/>
          <w:sz w:val="16"/>
        </w:rPr>
        <w:t>[8]</w:t>
        <w:tab/>
        <w:t>H. B. Özerkan, "Effect of changing polarity of graphite tool/Hadfield steel workpiece couple on machining performances in die sinking EDM," MATEC Web Conf., vol. 129, Art. no. 01034, 2017, doi: 10.1051/matecconf/201712901034.</w:t>
      </w:r>
    </w:p>
    <w:p>
      <w:pPr>
        <w:spacing w:after="20"/>
        <w:ind w:left="432" w:hanging="432"/>
        <w:jc w:val="left"/>
      </w:pPr>
      <w:r>
        <w:rPr>
          <w:rFonts w:ascii="Times New Roman" w:hAnsi="Times New Roman"/>
          <w:b w:val="0"/>
          <w:i w:val="0"/>
          <w:sz w:val="16"/>
        </w:rPr>
        <w:t>[9]</w:t>
        <w:tab/>
        <w:t>A. Cetin, G. Atali, C. Erden, and S. S. Ozkan, "Assessing the performance of state-of-the-art machine learning algorithms for predicting electro-erosion wear in cryogenic treated electrodes of mold steels," Adv. Eng. Inform., vol. 61, Art. no. 102468, 2024, doi: 10.1016/j.aei.2024.102468.</w:t>
      </w:r>
    </w:p>
    <w:p>
      <w:pPr>
        <w:spacing w:after="20"/>
        <w:ind w:left="432" w:hanging="432"/>
        <w:jc w:val="left"/>
      </w:pPr>
      <w:r>
        <w:rPr>
          <w:rFonts w:ascii="Times New Roman" w:hAnsi="Times New Roman"/>
          <w:b w:val="0"/>
          <w:i w:val="0"/>
          <w:sz w:val="16"/>
        </w:rPr>
        <w:t>[10]</w:t>
        <w:tab/>
        <w:t>E. Boominathan et al., "Integrating explainable machine learning models for interpreting EDM performance in Inconel 718 with cryogenically treated electrodes," Int. J. Adv. Manuf. Technol., vol. 141, no. 3–4, pp. 1595–1617, 2025, doi: 10.1007/s00170-025-16827-7.</w:t>
      </w:r>
    </w:p>
    <w:p>
      <w:pPr>
        <w:spacing w:after="20"/>
        <w:ind w:left="432" w:hanging="432"/>
        <w:jc w:val="left"/>
      </w:pPr>
      <w:r>
        <w:rPr>
          <w:rFonts w:ascii="Times New Roman" w:hAnsi="Times New Roman"/>
          <w:b w:val="0"/>
          <w:i w:val="0"/>
          <w:sz w:val="16"/>
        </w:rPr>
        <w:t>[11]</w:t>
        <w:tab/>
        <w:t>I. Qasem and A. Alsakarneh, "Machine learning-based prediction of EDM material removal rate and surface roughness," J. Manuf. Mater. Process., vol. 9, no. 8, Art. no. 274, 2025, doi: 10.3390/jmmp9080274.</w:t>
      </w:r>
    </w:p>
    <w:p>
      <w:pPr>
        <w:spacing w:after="20"/>
        <w:ind w:left="432" w:hanging="432"/>
        <w:jc w:val="left"/>
      </w:pPr>
      <w:r>
        <w:rPr>
          <w:rFonts w:ascii="Times New Roman" w:hAnsi="Times New Roman"/>
          <w:b w:val="0"/>
          <w:i w:val="0"/>
          <w:sz w:val="16"/>
        </w:rPr>
        <w:t>[12]</w:t>
        <w:tab/>
        <w:t>D. R. Roberts et al., "Cross-validation strategies for data with temporal, spatial, hierarchical, or phylogenetic structure," Ecography, vol. 40, no. 8, pp. 913–929, 2017, doi: 10.1111/ecog.02881.</w:t>
      </w:r>
    </w:p>
    <w:p>
      <w:pPr>
        <w:spacing w:after="20"/>
        <w:ind w:left="432" w:hanging="432"/>
        <w:jc w:val="left"/>
      </w:pPr>
      <w:r>
        <w:rPr>
          <w:rFonts w:ascii="Times New Roman" w:hAnsi="Times New Roman"/>
          <w:b w:val="0"/>
          <w:i w:val="0"/>
          <w:sz w:val="16"/>
        </w:rPr>
        <w:t>[13]</w:t>
        <w:tab/>
        <w:t>S. Kaufman, S. Rosset, C. Perlich, and O. Stitelman, "Leakage in data mining: Formulation, detection, and avoidance," ACM Trans. Knowl. Discov. Data, vol. 6, no. 4, pp. 1–21, 2012, doi: 10.1145/2382577.2382579.</w:t>
      </w:r>
    </w:p>
    <w:p>
      <w:pPr>
        <w:spacing w:after="20"/>
        <w:ind w:left="432" w:hanging="432"/>
        <w:jc w:val="left"/>
      </w:pPr>
      <w:r>
        <w:rPr>
          <w:rFonts w:ascii="Times New Roman" w:hAnsi="Times New Roman"/>
          <w:b w:val="0"/>
          <w:i w:val="0"/>
          <w:sz w:val="16"/>
        </w:rPr>
        <w:t>[14]</w:t>
        <w:tab/>
        <w:t>R. Nath, V. Sharma, and S. Datta, "Physics-guided predictive modeling of tool wear in electrical discharge machining via dimensional analysis: A Buckingham Π framework with TOPSIS-based electrode selection," Research Square preprint, 2026, doi: 10.21203/rs.3.rs-10693513/v1.</w:t>
      </w:r>
    </w:p>
    <w:p>
      <w:pPr>
        <w:spacing w:after="20"/>
        <w:ind w:left="432" w:hanging="432"/>
        <w:jc w:val="left"/>
      </w:pPr>
      <w:r>
        <w:rPr>
          <w:rFonts w:ascii="Times New Roman" w:hAnsi="Times New Roman"/>
          <w:b w:val="0"/>
          <w:i w:val="0"/>
          <w:sz w:val="16"/>
        </w:rPr>
        <w:t>[15]</w:t>
        <w:tab/>
        <w:t>J. M. Cortés-Mendoza, A. Żyra, A. Tchernykh, and H. González-Vélez, "Determining material removal and electrode wear in electric discharge machining with a generalist machine learning framework," Materials, vol. 19, no. 2, Art. no. 438, 2026, doi: 10.3390/ma19020438.</w:t>
      </w:r>
    </w:p>
    <w:p>
      <w:pPr>
        <w:spacing w:after="20"/>
        <w:ind w:left="432" w:hanging="432"/>
        <w:jc w:val="left"/>
      </w:pPr>
      <w:r>
        <w:rPr>
          <w:rFonts w:ascii="Times New Roman" w:hAnsi="Times New Roman"/>
          <w:b w:val="0"/>
          <w:i w:val="0"/>
          <w:sz w:val="16"/>
        </w:rPr>
        <w:t>[16]</w:t>
        <w:tab/>
        <w:t>A. Hegde, R. Shetty, R. Nayak, and S. Shetty, "Design of experiments integrated with neural networks for optimization and predictive modelling of electrode wear of novel Ti-6Al-4V-SiCp composites during die sinking electric discharge machining," Mater. Res. Express, vol. 11, no. 5, Art. no. 056522, 2024, doi: 10.1088/2053-1591/ad4f59.</w:t>
      </w:r>
    </w:p>
    <w:p>
      <w:pPr>
        <w:spacing w:after="20"/>
        <w:ind w:left="432" w:hanging="432"/>
        <w:jc w:val="left"/>
      </w:pPr>
      <w:r>
        <w:rPr>
          <w:rFonts w:ascii="Times New Roman" w:hAnsi="Times New Roman"/>
          <w:b w:val="0"/>
          <w:i w:val="0"/>
          <w:sz w:val="16"/>
        </w:rPr>
        <w:t>[17]</w:t>
        <w:tab/>
        <w:t>A. Gelman and J. Hill, Data Analysis Using Regression and Multilevel/Hierarchical Models. Cambridge, U.K.: Cambridge Univ. Press, 2007.</w:t>
      </w:r>
    </w:p>
    <w:p>
      <w:pPr>
        <w:spacing w:after="20"/>
        <w:ind w:left="432" w:hanging="432"/>
        <w:jc w:val="left"/>
      </w:pPr>
      <w:r>
        <w:rPr>
          <w:rFonts w:ascii="Times New Roman" w:hAnsi="Times New Roman"/>
          <w:b w:val="0"/>
          <w:i w:val="0"/>
          <w:sz w:val="16"/>
        </w:rPr>
        <w:t>[18]</w:t>
        <w:tab/>
        <w:t>T. Sultan, A. Kumar, and R. D. Gupta, "Material removal rate, electrode wear rate, and surface roughness evaluation in die sinking EDM with hollow tool through response surface methodology," Int. J. Manuf. Eng., vol. 2014, Art. no. 259129, 2014, doi: 10.1155/2014/259129.</w:t>
      </w:r>
    </w:p>
    <w:p>
      <w:pPr>
        <w:spacing w:after="20"/>
        <w:ind w:left="432" w:hanging="432"/>
        <w:jc w:val="left"/>
      </w:pPr>
      <w:r>
        <w:rPr>
          <w:rFonts w:ascii="Times New Roman" w:hAnsi="Times New Roman"/>
          <w:b w:val="0"/>
          <w:i w:val="0"/>
          <w:sz w:val="16"/>
        </w:rPr>
        <w:t>[19]</w:t>
        <w:tab/>
        <w:t>J. P. Agrawal, N. Somani, and N. K. Gupta, "Optimizing electric discharge machining parameters using Taguchi method and ANOVA: A study on AISI D2 steel machining with copper electrodes and materials science progress," Next Mater., vol. 10, Art. no. 101361, 2026, doi: 10.1016/j.nxmate.2025.101361.</w:t>
      </w:r>
    </w:p>
    <w:p>
      <w:pPr>
        <w:spacing w:after="20"/>
        <w:ind w:left="432" w:hanging="432"/>
        <w:jc w:val="left"/>
      </w:pPr>
      <w:r>
        <w:rPr>
          <w:rFonts w:ascii="Times New Roman" w:hAnsi="Times New Roman"/>
          <w:b w:val="0"/>
          <w:i w:val="0"/>
          <w:sz w:val="16"/>
        </w:rPr>
        <w:t>[20]</w:t>
        <w:tab/>
        <w:t>A. Soundhar, H. A. Zubar, M. T. B. H. H. Sultan, and J. Kandasamy, "Dataset on optimization of EDM machining parameters by using central composite design," Data Brief, vol. 23, Art. no. 103671, 2019, doi: 10.1016/j.dib.2019.01.019.</w:t>
      </w:r>
    </w:p>
    <w:p>
      <w:pPr>
        <w:spacing w:after="20"/>
        <w:ind w:left="432" w:hanging="432"/>
        <w:jc w:val="left"/>
      </w:pPr>
      <w:r>
        <w:rPr>
          <w:rFonts w:ascii="Times New Roman" w:hAnsi="Times New Roman"/>
          <w:b w:val="0"/>
          <w:i w:val="0"/>
          <w:sz w:val="16"/>
        </w:rPr>
        <w:t>[21]</w:t>
        <w:tab/>
        <w:t>K. Surani et al., "Optimization of EDM parameters for enhanced machining of X37CrMoV5-1 tool steel using Taguchi method and regression analysis," Sci. Rep., vol. 15, Art. no. 43732, 2025, doi: 10.1038/s41598-025-28664-5.</w:t>
      </w:r>
    </w:p>
    <w:p>
      <w:pPr>
        <w:spacing w:after="20"/>
        <w:ind w:left="432" w:hanging="432"/>
        <w:jc w:val="left"/>
      </w:pPr>
      <w:r>
        <w:rPr>
          <w:rFonts w:ascii="Times New Roman" w:hAnsi="Times New Roman"/>
          <w:b w:val="0"/>
          <w:i w:val="0"/>
          <w:sz w:val="16"/>
        </w:rPr>
        <w:t>[22]</w:t>
        <w:tab/>
        <w:t>A. Y. Fatatit and A. Kalyon, "Investigation into the electrical discharge machining parameters of DIN 2767 tool steel using Taguchi method," Mindanao J. Sci. Technol., vol. 19, no. 1, pp. 178–196, 2021, doi: 10.61310/mndjsteect.1032.21.</w:t>
      </w:r>
    </w:p>
    <w:p>
      <w:pPr>
        <w:spacing w:after="20"/>
        <w:ind w:left="432" w:hanging="432"/>
        <w:jc w:val="left"/>
      </w:pPr>
      <w:r>
        <w:rPr>
          <w:rFonts w:ascii="Times New Roman" w:hAnsi="Times New Roman"/>
          <w:b w:val="0"/>
          <w:i w:val="0"/>
          <w:sz w:val="16"/>
        </w:rPr>
        <w:t>[23]</w:t>
        <w:tab/>
        <w:t>S. Akıncıoğlu, "Taguchi optimization of multiple performance characteristics in the electrical discharge machining of the TiGr2," Facta Univ. Ser. Mech. Eng., vol. 20, no. 2, pp. 237–253, 2022, doi: 10.22190/FUME201230028A.</w:t>
      </w:r>
    </w:p>
    <w:p>
      <w:pPr>
        <w:spacing w:after="20"/>
        <w:ind w:left="432" w:hanging="432"/>
        <w:jc w:val="left"/>
      </w:pPr>
      <w:r>
        <w:rPr>
          <w:rFonts w:ascii="Times New Roman" w:hAnsi="Times New Roman"/>
          <w:b w:val="0"/>
          <w:i w:val="0"/>
          <w:sz w:val="16"/>
        </w:rPr>
        <w:t>[24]</w:t>
        <w:tab/>
        <w:t>V. V. Reddy, P. V. Krishna, B. S. Kumar, and M. Shashidhar, "Optimization of process parameters during EDM of stainless steel 304 using Taguchi method," Int. J. Eng. Trends Technol., vol. 31, no. 2, pp. 106–114, 2016, doi: 10.14445/22315381/IJETT-V31P219.</w:t>
      </w:r>
    </w:p>
    <w:p>
      <w:pPr>
        <w:spacing w:after="20"/>
        <w:ind w:left="432" w:hanging="432"/>
        <w:jc w:val="left"/>
      </w:pPr>
      <w:r>
        <w:rPr>
          <w:rFonts w:ascii="Times New Roman" w:hAnsi="Times New Roman"/>
          <w:b w:val="0"/>
          <w:i w:val="0"/>
          <w:sz w:val="16"/>
        </w:rPr>
        <w:t>[25]</w:t>
        <w:tab/>
        <w:t>J. S. Ram, J. Shiek, and M. A. Rahman, "Enhancing EDM machining of Inconel: Integrating Taguchi, ANOVA, and CoCoSo, MABAC, CODAS for parameter and tool optimization," J. Eng. Appl. Sci., vol. 72, Art. no. 49, 2025, doi: 10.1186/s44147-025-00614-y.</w:t>
      </w:r>
    </w:p>
    <w:p>
      <w:pPr>
        <w:spacing w:after="20"/>
        <w:ind w:left="432" w:hanging="432"/>
        <w:jc w:val="left"/>
      </w:pPr>
      <w:r>
        <w:rPr>
          <w:rFonts w:ascii="Times New Roman" w:hAnsi="Times New Roman"/>
          <w:b w:val="0"/>
          <w:i w:val="0"/>
          <w:sz w:val="16"/>
        </w:rPr>
        <w:t>[26]</w:t>
        <w:tab/>
        <w:t>A. Hassan, R. T. Mushtaq, A. M. Khan, and S. Anwar, "Parametric investigation of the effects of electrical discharge machining on plain D2 steel," Metals, vol. 13, no. 12, Art. no. 1964, 2023, doi: 10.3390/met13121964.</w:t>
      </w:r>
    </w:p>
    <w:p>
      <w:pPr>
        <w:spacing w:after="20"/>
        <w:ind w:left="432" w:hanging="432"/>
        <w:jc w:val="left"/>
      </w:pPr>
      <w:r>
        <w:rPr>
          <w:rFonts w:ascii="Times New Roman" w:hAnsi="Times New Roman"/>
          <w:b w:val="0"/>
          <w:i w:val="0"/>
          <w:sz w:val="16"/>
        </w:rPr>
        <w:t>[27]</w:t>
        <w:tab/>
        <w:t>ASM Handbook, Vol. 2: Properties and Selection: Nonferrous Alloys and Special-Purpose Materials. Materials Park, OH, USA: ASM International, 1990.</w:t>
      </w:r>
    </w:p>
    <w:p>
      <w:pPr>
        <w:spacing w:after="20"/>
        <w:ind w:left="432" w:hanging="432"/>
        <w:jc w:val="left"/>
      </w:pPr>
      <w:r>
        <w:rPr>
          <w:rFonts w:ascii="Times New Roman" w:hAnsi="Times New Roman"/>
          <w:b w:val="0"/>
          <w:i w:val="0"/>
          <w:sz w:val="16"/>
        </w:rPr>
        <w:t>[28]</w:t>
        <w:tab/>
        <w:t>F. Pedregosa et al., "Scikit-learn: Machine learning in Python," J. Mach. Learn. Res., vol. 12, pp. 2825–2830, 2011.</w:t>
      </w:r>
    </w:p>
    <w:p>
      <w:pPr>
        <w:spacing w:after="20"/>
        <w:ind w:left="432" w:hanging="432"/>
        <w:jc w:val="left"/>
      </w:pPr>
      <w:r>
        <w:rPr>
          <w:rFonts w:ascii="Times New Roman" w:hAnsi="Times New Roman"/>
          <w:b w:val="0"/>
          <w:i w:val="0"/>
          <w:sz w:val="16"/>
        </w:rPr>
        <w:t>[29]</w:t>
        <w:tab/>
        <w:t>T. Chen and C. Guestrin, "XGBoost: A scalable tree boosting system," in Proc. 22nd ACM SIGKDD Int. Conf. Knowl. Discov. Data Min., 2016, pp. 785–794, doi: 10.1145/2939672.2939785.</w:t>
      </w:r>
    </w:p>
    <w:p>
      <w:pPr>
        <w:spacing w:after="20"/>
        <w:ind w:left="432" w:hanging="432"/>
        <w:jc w:val="left"/>
      </w:pPr>
      <w:r>
        <w:rPr>
          <w:rFonts w:ascii="Times New Roman" w:hAnsi="Times New Roman"/>
          <w:b w:val="0"/>
          <w:i w:val="0"/>
          <w:sz w:val="16"/>
        </w:rPr>
        <w:t>[30]</w:t>
        <w:tab/>
        <w:t>A. E. Hoerl and R. W. Kennard, "Ridge regression: Biased estimation for nonorthogonal problems," Technometrics, vol. 12, no. 1, pp. 55–67, 1970, doi: 10.1080/00401706.1970.10488634.</w:t>
      </w:r>
    </w:p>
    <w:p>
      <w:pPr>
        <w:spacing w:after="20"/>
        <w:ind w:left="432" w:hanging="432"/>
        <w:jc w:val="left"/>
      </w:pPr>
      <w:r>
        <w:rPr>
          <w:rFonts w:ascii="Times New Roman" w:hAnsi="Times New Roman"/>
          <w:b w:val="0"/>
          <w:i w:val="0"/>
          <w:sz w:val="16"/>
        </w:rPr>
        <w:t>[31]</w:t>
        <w:tab/>
        <w:t>L. Breiman, "Random forests," Mach. Learn., vol. 45, no. 1, pp. 5–32, 2001, doi: 10.1023/A:1010933404324.</w:t>
      </w:r>
    </w:p>
    <w:p>
      <w:pPr>
        <w:spacing w:after="20"/>
        <w:ind w:left="432" w:hanging="432"/>
        <w:jc w:val="left"/>
      </w:pPr>
      <w:r>
        <w:rPr>
          <w:rFonts w:ascii="Times New Roman" w:hAnsi="Times New Roman"/>
          <w:b w:val="0"/>
          <w:i w:val="0"/>
          <w:sz w:val="16"/>
        </w:rPr>
        <w:t>[32]</w:t>
        <w:tab/>
        <w:t>D. E. Rumelhart, G. E. Hinton, and R. J. Williams, "Learning representations by back-propagating errors," Nature, vol. 323, pp. 533–536, 1986, doi: 10.1038/323533a0.</w:t>
      </w:r>
    </w:p>
    <w:p>
      <w:pPr>
        <w:spacing w:after="20"/>
        <w:ind w:left="432" w:hanging="432"/>
        <w:jc w:val="left"/>
      </w:pPr>
      <w:r>
        <w:rPr>
          <w:rFonts w:ascii="Times New Roman" w:hAnsi="Times New Roman"/>
          <w:b w:val="0"/>
          <w:i w:val="0"/>
          <w:sz w:val="16"/>
        </w:rPr>
        <w:t>[33]</w:t>
        <w:tab/>
        <w:t>H. Drucker, C. J. C. Burges, L. Kaufman, A. Smola, and V. Vapnik, "Support vector regression machines," in Adv. Neural Inf. Process. Syst. 9, 1997, pp. 155–161.</w:t>
      </w:r>
    </w:p>
    <w:p>
      <w:pPr>
        <w:spacing w:after="20"/>
        <w:ind w:left="432" w:hanging="432"/>
        <w:jc w:val="left"/>
      </w:pPr>
      <w:r>
        <w:rPr>
          <w:rFonts w:ascii="Times New Roman" w:hAnsi="Times New Roman"/>
          <w:b w:val="0"/>
          <w:i w:val="0"/>
          <w:sz w:val="16"/>
        </w:rPr>
        <w:t>[34]</w:t>
        <w:tab/>
        <w:t>D. H. Wolpert, "Stacked generalization," Neural Netw., vol. 5, no. 2, pp. 241–259, 1992, doi: 10.1016/S0893-6080(05)80023-1.</w:t>
      </w:r>
    </w:p>
    <w:sectPr w:rsidR="00FC693F" w:rsidRPr="0006063C" w:rsidSect="00034616">
      <w:type w:val="continuous"/>
      <w:pgSz w:w="12240" w:h="15840"/>
      <w:pgMar w:top="1080" w:right="893" w:bottom="1440" w:left="893"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Well Do Tool Wear Rate Models for Die-Sinking EDM Transfer to a New Laboratory? A Leave-One-Paper-Out Evaluation on Data from Ten Published Studies</dc:title>
  <dc:subject/>
  <dc:creator>Adithya D, Billava Srujan Macha, Ayush Singh, Shanthala Kollur</dc:creator>
  <cp:keywords>electrical discharge machining; tool wear rate; machine learning; grouped cross-validation</cp:keywords>
  <dc:description/>
  <cp:lastModifiedBy>Ayush Singh</cp:lastModifiedBy>
  <cp:revision>1</cp:revision>
  <dcterms:created xsi:type="dcterms:W3CDTF">2026-10-11T01:04:54Z</dcterms:created>
  <dcterms:modified xsi:type="dcterms:W3CDTF">2026-10-11T01:04:54Z</dcterms:modified>
  <cp:category/>
</cp:coreProperties>
</file>