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6A3E5">
      <w:pPr>
        <w:spacing w:after="200"/>
      </w:pPr>
    </w:p>
    <w:p w14:paraId="0EF894AC">
      <w:pPr>
        <w:spacing w:after="60"/>
        <w:jc w:val="center"/>
      </w:pPr>
      <w:r>
        <w:rPr>
          <w:rFonts w:ascii="Times New Roman" w:hAnsi="Times New Roman" w:eastAsia="Times New Roman" w:cs="Times New Roman"/>
          <w:b/>
          <w:bCs/>
          <w:sz w:val="28"/>
          <w:szCs w:val="28"/>
        </w:rPr>
        <w:t>A PROJECT REPORT</w:t>
      </w:r>
    </w:p>
    <w:p w14:paraId="5C7E61B0">
      <w:pPr>
        <w:spacing w:after="60"/>
        <w:jc w:val="center"/>
      </w:pPr>
      <w:r>
        <w:rPr>
          <w:rFonts w:ascii="Times New Roman" w:hAnsi="Times New Roman" w:eastAsia="Times New Roman" w:cs="Times New Roman"/>
          <w:sz w:val="24"/>
          <w:szCs w:val="24"/>
        </w:rPr>
        <w:t>on</w:t>
      </w:r>
    </w:p>
    <w:p w14:paraId="63E5D22F">
      <w:pPr>
        <w:spacing w:after="80"/>
      </w:pPr>
    </w:p>
    <w:p w14:paraId="6AC2BD34">
      <w:pPr>
        <w:spacing w:after="60"/>
        <w:jc w:val="center"/>
      </w:pPr>
      <w:r>
        <w:rPr>
          <w:rFonts w:ascii="Times New Roman" w:hAnsi="Times New Roman" w:eastAsia="Times New Roman" w:cs="Times New Roman"/>
          <w:b/>
          <w:bCs/>
          <w:sz w:val="26"/>
          <w:szCs w:val="26"/>
        </w:rPr>
        <w:t>"Improving Token Representation in BERT</w:t>
      </w:r>
    </w:p>
    <w:p w14:paraId="6D4F03B8">
      <w:pPr>
        <w:spacing w:after="60"/>
        <w:jc w:val="center"/>
      </w:pPr>
      <w:r>
        <w:rPr>
          <w:rFonts w:ascii="Times New Roman" w:hAnsi="Times New Roman" w:eastAsia="Times New Roman" w:cs="Times New Roman"/>
          <w:b/>
          <w:bCs/>
          <w:sz w:val="26"/>
          <w:szCs w:val="26"/>
        </w:rPr>
        <w:t>for Extractive Question Answering"</w:t>
      </w:r>
    </w:p>
    <w:p w14:paraId="7B550B49">
      <w:pPr>
        <w:spacing w:after="80"/>
      </w:pPr>
    </w:p>
    <w:p w14:paraId="4EFF033D">
      <w:pPr>
        <w:spacing w:after="60"/>
        <w:jc w:val="center"/>
      </w:pPr>
      <w:r>
        <w:rPr>
          <w:rFonts w:ascii="Times New Roman" w:hAnsi="Times New Roman" w:eastAsia="Times New Roman" w:cs="Times New Roman"/>
          <w:sz w:val="24"/>
          <w:szCs w:val="24"/>
        </w:rPr>
        <w:t>Submitted to</w:t>
      </w:r>
    </w:p>
    <w:p w14:paraId="418557F9">
      <w:pPr>
        <w:spacing w:after="60"/>
      </w:pPr>
    </w:p>
    <w:p w14:paraId="45237C50">
      <w:pPr>
        <w:spacing w:after="60"/>
        <w:jc w:val="center"/>
      </w:pPr>
      <w:r>
        <w:rPr>
          <w:rFonts w:ascii="Times New Roman" w:hAnsi="Times New Roman" w:eastAsia="Times New Roman" w:cs="Times New Roman"/>
          <w:b/>
          <w:bCs/>
          <w:sz w:val="26"/>
          <w:szCs w:val="26"/>
        </w:rPr>
        <w:t>KIIT Deemed to be University</w:t>
      </w:r>
    </w:p>
    <w:p w14:paraId="521D8E4C">
      <w:pPr>
        <w:spacing w:after="60"/>
      </w:pPr>
    </w:p>
    <w:p w14:paraId="237D9153">
      <w:pPr>
        <w:spacing w:after="60"/>
        <w:jc w:val="center"/>
      </w:pPr>
      <w:r>
        <w:rPr>
          <w:rFonts w:ascii="Times New Roman" w:hAnsi="Times New Roman" w:eastAsia="Times New Roman" w:cs="Times New Roman"/>
          <w:sz w:val="22"/>
          <w:szCs w:val="22"/>
        </w:rPr>
        <w:t>In Partial Fulfilment of the Requirement for the Award of</w:t>
      </w:r>
    </w:p>
    <w:p w14:paraId="14B1AB83">
      <w:pPr>
        <w:spacing w:after="60"/>
        <w:jc w:val="center"/>
      </w:pPr>
      <w:r>
        <w:rPr>
          <w:rFonts w:ascii="Times New Roman" w:hAnsi="Times New Roman" w:eastAsia="Times New Roman" w:cs="Times New Roman"/>
          <w:b/>
          <w:bCs/>
          <w:sz w:val="24"/>
          <w:szCs w:val="24"/>
        </w:rPr>
        <w:t>BACHELOR'S DEGREE IN</w:t>
      </w:r>
    </w:p>
    <w:p w14:paraId="0AA04740">
      <w:pPr>
        <w:spacing w:after="60"/>
        <w:jc w:val="center"/>
      </w:pPr>
      <w:r>
        <w:rPr>
          <w:rFonts w:ascii="Times New Roman" w:hAnsi="Times New Roman" w:eastAsia="Times New Roman" w:cs="Times New Roman"/>
          <w:b/>
          <w:bCs/>
          <w:sz w:val="24"/>
          <w:szCs w:val="24"/>
        </w:rPr>
        <w:t>COMPUTER SCIENCE ENGINEERING</w:t>
      </w:r>
    </w:p>
    <w:p w14:paraId="437EFDD1">
      <w:pPr>
        <w:spacing w:after="80"/>
      </w:pPr>
    </w:p>
    <w:p w14:paraId="0A3F6479">
      <w:pPr>
        <w:spacing w:after="60"/>
        <w:jc w:val="center"/>
      </w:pPr>
      <w:r>
        <w:rPr>
          <w:rFonts w:ascii="Times New Roman" w:hAnsi="Times New Roman" w:eastAsia="Times New Roman" w:cs="Times New Roman"/>
          <w:b/>
          <w:bCs/>
          <w:sz w:val="24"/>
          <w:szCs w:val="24"/>
        </w:rPr>
        <w:t>BY</w:t>
      </w:r>
    </w:p>
    <w:p w14:paraId="5C2B21CE">
      <w:pPr>
        <w:spacing w:after="40"/>
      </w:pPr>
    </w:p>
    <w:p w14:paraId="21E20794">
      <w:pPr>
        <w:spacing w:after="60"/>
        <w:jc w:val="center"/>
      </w:pPr>
      <w:r>
        <w:rPr>
          <w:rFonts w:ascii="Times New Roman" w:hAnsi="Times New Roman" w:eastAsia="Times New Roman" w:cs="Times New Roman"/>
          <w:b/>
          <w:bCs/>
          <w:sz w:val="24"/>
          <w:szCs w:val="24"/>
        </w:rPr>
        <w:t>AYUSH RAJ</w:t>
      </w:r>
      <w:r>
        <w:rPr>
          <w:rFonts w:ascii="Times New Roman" w:hAnsi="Times New Roman" w:eastAsia="Times New Roman" w:cs="Times New Roman"/>
          <w:sz w:val="24"/>
          <w:szCs w:val="24"/>
        </w:rPr>
        <w:t xml:space="preserve">  (23051337)</w:t>
      </w:r>
    </w:p>
    <w:p w14:paraId="538DC842">
      <w:pPr>
        <w:spacing w:after="80"/>
      </w:pPr>
    </w:p>
    <w:p w14:paraId="69F2D6D7">
      <w:pPr>
        <w:spacing w:after="60"/>
        <w:jc w:val="center"/>
      </w:pPr>
      <w:r>
        <w:rPr>
          <w:rFonts w:ascii="Times New Roman" w:hAnsi="Times New Roman" w:eastAsia="Times New Roman" w:cs="Times New Roman"/>
          <w:sz w:val="22"/>
          <w:szCs w:val="22"/>
        </w:rPr>
        <w:t>Under the Guidance of</w:t>
      </w:r>
    </w:p>
    <w:p w14:paraId="033760DF">
      <w:pPr>
        <w:spacing w:after="60"/>
        <w:jc w:val="center"/>
      </w:pPr>
      <w:r>
        <w:rPr>
          <w:rFonts w:ascii="Times New Roman" w:hAnsi="Times New Roman" w:eastAsia="Times New Roman" w:cs="Times New Roman"/>
          <w:b/>
          <w:bCs/>
          <w:sz w:val="24"/>
          <w:szCs w:val="24"/>
        </w:rPr>
        <w:t>PROF. SAMBIT PRAHARAJ</w:t>
      </w:r>
    </w:p>
    <w:p w14:paraId="6B7AF75B">
      <w:pPr>
        <w:spacing w:after="120"/>
      </w:pPr>
    </w:p>
    <w:p w14:paraId="79FA53F9">
      <w:pPr>
        <w:spacing w:after="120"/>
        <w:jc w:val="center"/>
      </w:pPr>
      <w:r>
        <w:drawing>
          <wp:inline distT="0" distB="0" distL="0" distR="0">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876300" cy="876300"/>
                    </a:xfrm>
                    <a:prstGeom prst="rect">
                      <a:avLst/>
                    </a:prstGeom>
                  </pic:spPr>
                </pic:pic>
              </a:graphicData>
            </a:graphic>
          </wp:inline>
        </w:drawing>
      </w:r>
    </w:p>
    <w:p w14:paraId="0EDDFCB7">
      <w:pPr>
        <w:spacing w:after="60"/>
        <w:jc w:val="center"/>
      </w:pPr>
      <w:r>
        <w:rPr>
          <w:rFonts w:ascii="Times New Roman" w:hAnsi="Times New Roman" w:eastAsia="Times New Roman" w:cs="Times New Roman"/>
          <w:b/>
          <w:bCs/>
          <w:sz w:val="24"/>
          <w:szCs w:val="24"/>
        </w:rPr>
        <w:t>SCHOOL OF COMPUTER ENGINEERING</w:t>
      </w:r>
    </w:p>
    <w:p w14:paraId="257278F9">
      <w:pPr>
        <w:spacing w:after="60"/>
        <w:jc w:val="center"/>
      </w:pPr>
      <w:r>
        <w:rPr>
          <w:rFonts w:ascii="Times New Roman" w:hAnsi="Times New Roman" w:eastAsia="Times New Roman" w:cs="Times New Roman"/>
          <w:b/>
          <w:bCs/>
          <w:sz w:val="24"/>
          <w:szCs w:val="24"/>
        </w:rPr>
        <w:t>KALINGA INSTITUTE OF INDUSTRIAL TECHNOLOGY</w:t>
      </w:r>
    </w:p>
    <w:p w14:paraId="631543AD">
      <w:pPr>
        <w:spacing w:after="60"/>
        <w:jc w:val="center"/>
      </w:pPr>
      <w:r>
        <w:rPr>
          <w:rFonts w:ascii="Times New Roman" w:hAnsi="Times New Roman" w:eastAsia="Times New Roman" w:cs="Times New Roman"/>
          <w:b/>
          <w:bCs/>
          <w:sz w:val="24"/>
          <w:szCs w:val="24"/>
        </w:rPr>
        <w:t>BHUBANESWAR, ODISHA - 751024</w:t>
      </w:r>
    </w:p>
    <w:p w14:paraId="76EE8F99">
      <w:pPr>
        <w:spacing w:after="80"/>
      </w:pPr>
    </w:p>
    <w:p w14:paraId="56594753">
      <w:pPr>
        <w:spacing w:after="60"/>
        <w:jc w:val="center"/>
      </w:pPr>
      <w:r>
        <w:rPr>
          <w:rFonts w:ascii="Times New Roman" w:hAnsi="Times New Roman" w:eastAsia="Times New Roman" w:cs="Times New Roman"/>
          <w:b/>
          <w:bCs/>
          <w:sz w:val="24"/>
          <w:szCs w:val="24"/>
        </w:rPr>
        <w:t>March 2026</w:t>
      </w:r>
    </w:p>
    <w:p w14:paraId="083F1DDD">
      <w:r>
        <w:br w:type="page"/>
      </w:r>
    </w:p>
    <w:p w14:paraId="23017729">
      <w:pPr>
        <w:pStyle w:val="2"/>
        <w:spacing w:before="300" w:after="150"/>
      </w:pPr>
      <w:r>
        <w:rPr>
          <w:rFonts w:ascii="Times New Roman" w:hAnsi="Times New Roman" w:eastAsia="Times New Roman" w:cs="Times New Roman"/>
          <w:b/>
          <w:bCs/>
        </w:rPr>
        <w:t>Acknowledgements</w:t>
      </w:r>
    </w:p>
    <w:p w14:paraId="54E4F282">
      <w:pPr>
        <w:spacing w:after="160"/>
        <w:jc w:val="both"/>
      </w:pPr>
      <w:r>
        <w:rPr>
          <w:rFonts w:ascii="Times New Roman" w:hAnsi="Times New Roman" w:eastAsia="Times New Roman" w:cs="Times New Roman"/>
          <w:sz w:val="24"/>
          <w:szCs w:val="24"/>
        </w:rPr>
        <w:t>I would like to express my sincere gratitude to Prof. Sambit Praharaj for the guidance and support throughout this project. The structured assignment framework provided clear objectives and allowed for meaningful exploration of tokenization strategies in modern NLP.</w:t>
      </w:r>
    </w:p>
    <w:p w14:paraId="58093E44">
      <w:pPr>
        <w:spacing w:after="160"/>
        <w:jc w:val="both"/>
      </w:pPr>
      <w:r>
        <w:rPr>
          <w:rFonts w:ascii="Times New Roman" w:hAnsi="Times New Roman" w:eastAsia="Times New Roman" w:cs="Times New Roman"/>
          <w:sz w:val="24"/>
          <w:szCs w:val="24"/>
        </w:rPr>
        <w:t>I am also grateful to the open-source community behind HuggingFace Transformers, the Stanford NLP group for the SQuAD dataset, and Google Colab for providing free GPU access that made this experimental work possible.</w:t>
      </w:r>
    </w:p>
    <w:p w14:paraId="03A90F0D">
      <w:r>
        <w:br w:type="page"/>
      </w:r>
    </w:p>
    <w:p w14:paraId="1E63230C">
      <w:pPr>
        <w:pStyle w:val="2"/>
        <w:spacing w:before="300" w:after="150"/>
      </w:pPr>
      <w:r>
        <w:rPr>
          <w:rFonts w:ascii="Times New Roman" w:hAnsi="Times New Roman" w:eastAsia="Times New Roman" w:cs="Times New Roman"/>
          <w:b/>
          <w:bCs/>
        </w:rPr>
        <w:t>Abstract</w:t>
      </w:r>
    </w:p>
    <w:p w14:paraId="2759015B">
      <w:pPr>
        <w:spacing w:after="160"/>
        <w:jc w:val="both"/>
      </w:pPr>
      <w:r>
        <w:rPr>
          <w:rFonts w:ascii="Times New Roman" w:hAnsi="Times New Roman" w:eastAsia="Times New Roman" w:cs="Times New Roman"/>
          <w:sz w:val="24"/>
          <w:szCs w:val="24"/>
        </w:rPr>
        <w:t>BERT's default WordPiece tokenizer uses a static vocabulary fixed at pre-training time, which may not be optimal for domain-specific or rare terminology. This project investigates whether replacing WordPiece with Byte Pair Encoding (BPE), Character-Level tokenization, or a Hybrid strategy can improve BERT's performance on SQuAD-style extractive question answering. A Dynamic Token Merging extension is also evaluated. All five strategies are benchmarked on a 1,000-example SQuAD v1.1 subset using bert-base-uncased with identical hyperparameters. Results show that WordPiece retains the highest accuracy (5.96% EM, 8.02% F1) due to its pre-training alignment advantage. Dynamic Token Merging achieves the closest performance (4.23% EM, 6.81% F1) while uniquely learning task-adaptive compression. BPE and Hybrid require more training to overcome cold-start embedding disadvantages, and Character-Level tokenization fails entirely within 2 epochs due to sequence-length explosion.</w:t>
      </w:r>
    </w:p>
    <w:p w14:paraId="7B8AECA2">
      <w:pPr>
        <w:spacing w:after="60"/>
      </w:pPr>
    </w:p>
    <w:p w14:paraId="51B595C0">
      <w:pPr>
        <w:spacing w:after="160"/>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BERT, WordPiece, BPE, Character-Level Tokenization, Hybrid Tokenization, Dynamic Token Merging, Extractive QA, SQuAD, NLP</w:t>
      </w:r>
    </w:p>
    <w:p w14:paraId="725F870B">
      <w:r>
        <w:br w:type="page"/>
      </w:r>
    </w:p>
    <w:p w14:paraId="4F6FA16A">
      <w:pPr>
        <w:pStyle w:val="2"/>
        <w:spacing w:before="300" w:after="150"/>
      </w:pPr>
      <w:r>
        <w:rPr>
          <w:rFonts w:ascii="Times New Roman" w:hAnsi="Times New Roman" w:eastAsia="Times New Roman" w:cs="Times New Roman"/>
          <w:b/>
          <w:bCs/>
        </w:rPr>
        <w:t>Table of Contents</w:t>
      </w:r>
    </w:p>
    <w:p w14:paraId="78855ABC">
      <w:pPr>
        <w:tabs>
          <w:tab w:val="right" w:pos="8640"/>
        </w:tabs>
        <w:spacing w:after="100"/>
      </w:pPr>
      <w:r>
        <w:rPr>
          <w:rFonts w:ascii="Times New Roman" w:hAnsi="Times New Roman" w:eastAsia="Times New Roman" w:cs="Times New Roman"/>
          <w:sz w:val="24"/>
          <w:szCs w:val="24"/>
        </w:rPr>
        <w:t>1.  Introduction</w:t>
      </w:r>
      <w:r>
        <w:rPr>
          <w:rFonts w:ascii="Times New Roman" w:hAnsi="Times New Roman" w:eastAsia="Times New Roman" w:cs="Times New Roman"/>
          <w:sz w:val="24"/>
          <w:szCs w:val="24"/>
        </w:rPr>
        <w:tab/>
        <w:t>5</w:t>
      </w:r>
    </w:p>
    <w:p w14:paraId="1A978271">
      <w:pPr>
        <w:tabs>
          <w:tab w:val="right" w:pos="8640"/>
        </w:tabs>
        <w:spacing w:after="100"/>
      </w:pPr>
      <w:r>
        <w:rPr>
          <w:rFonts w:ascii="Times New Roman" w:hAnsi="Times New Roman" w:eastAsia="Times New Roman" w:cs="Times New Roman"/>
          <w:sz w:val="24"/>
          <w:szCs w:val="24"/>
        </w:rPr>
        <w:t>2.  Related Work</w:t>
      </w:r>
      <w:r>
        <w:rPr>
          <w:rFonts w:ascii="Times New Roman" w:hAnsi="Times New Roman" w:eastAsia="Times New Roman" w:cs="Times New Roman"/>
          <w:sz w:val="24"/>
          <w:szCs w:val="24"/>
        </w:rPr>
        <w:tab/>
        <w:t>6</w:t>
      </w:r>
    </w:p>
    <w:p w14:paraId="4E2895EF">
      <w:pPr>
        <w:tabs>
          <w:tab w:val="right" w:pos="8640"/>
        </w:tabs>
        <w:spacing w:after="100"/>
      </w:pPr>
      <w:r>
        <w:rPr>
          <w:rFonts w:ascii="Times New Roman" w:hAnsi="Times New Roman" w:eastAsia="Times New Roman" w:cs="Times New Roman"/>
          <w:sz w:val="24"/>
          <w:szCs w:val="24"/>
        </w:rPr>
        <w:t>3.  Methodology</w:t>
      </w:r>
      <w:r>
        <w:rPr>
          <w:rFonts w:ascii="Times New Roman" w:hAnsi="Times New Roman" w:eastAsia="Times New Roman" w:cs="Times New Roman"/>
          <w:sz w:val="24"/>
          <w:szCs w:val="24"/>
        </w:rPr>
        <w:tab/>
        <w:t>7</w:t>
      </w:r>
    </w:p>
    <w:p w14:paraId="488E3AAB">
      <w:pPr>
        <w:tabs>
          <w:tab w:val="right" w:pos="8640"/>
        </w:tabs>
        <w:spacing w:after="100"/>
      </w:pPr>
      <w:r>
        <w:rPr>
          <w:rFonts w:ascii="Times New Roman" w:hAnsi="Times New Roman" w:eastAsia="Times New Roman" w:cs="Times New Roman"/>
          <w:sz w:val="24"/>
          <w:szCs w:val="24"/>
        </w:rPr>
        <w:t>4.  Experiments</w:t>
      </w:r>
      <w:r>
        <w:rPr>
          <w:rFonts w:ascii="Times New Roman" w:hAnsi="Times New Roman" w:eastAsia="Times New Roman" w:cs="Times New Roman"/>
          <w:sz w:val="24"/>
          <w:szCs w:val="24"/>
        </w:rPr>
        <w:tab/>
        <w:t>9</w:t>
      </w:r>
    </w:p>
    <w:p w14:paraId="4713F582">
      <w:pPr>
        <w:tabs>
          <w:tab w:val="right" w:pos="8640"/>
        </w:tabs>
        <w:spacing w:after="100"/>
      </w:pPr>
      <w:r>
        <w:rPr>
          <w:rFonts w:ascii="Times New Roman" w:hAnsi="Times New Roman" w:eastAsia="Times New Roman" w:cs="Times New Roman"/>
          <w:sz w:val="24"/>
          <w:szCs w:val="24"/>
        </w:rPr>
        <w:t>5.  Results</w:t>
      </w:r>
      <w:r>
        <w:rPr>
          <w:rFonts w:ascii="Times New Roman" w:hAnsi="Times New Roman" w:eastAsia="Times New Roman" w:cs="Times New Roman"/>
          <w:sz w:val="24"/>
          <w:szCs w:val="24"/>
        </w:rPr>
        <w:tab/>
        <w:t>10</w:t>
      </w:r>
    </w:p>
    <w:p w14:paraId="724D66F8">
      <w:pPr>
        <w:tabs>
          <w:tab w:val="right" w:pos="8640"/>
        </w:tabs>
        <w:spacing w:after="100"/>
      </w:pPr>
      <w:r>
        <w:rPr>
          <w:rFonts w:ascii="Times New Roman" w:hAnsi="Times New Roman" w:eastAsia="Times New Roman" w:cs="Times New Roman"/>
          <w:sz w:val="24"/>
          <w:szCs w:val="24"/>
        </w:rPr>
        <w:t>6.  Analysis</w:t>
      </w:r>
      <w:r>
        <w:rPr>
          <w:rFonts w:ascii="Times New Roman" w:hAnsi="Times New Roman" w:eastAsia="Times New Roman" w:cs="Times New Roman"/>
          <w:sz w:val="24"/>
          <w:szCs w:val="24"/>
        </w:rPr>
        <w:tab/>
        <w:t>11</w:t>
      </w:r>
    </w:p>
    <w:p w14:paraId="1EA8D28B">
      <w:pPr>
        <w:tabs>
          <w:tab w:val="right" w:pos="8640"/>
        </w:tabs>
        <w:spacing w:after="100"/>
      </w:pPr>
      <w:r>
        <w:rPr>
          <w:rFonts w:ascii="Times New Roman" w:hAnsi="Times New Roman" w:eastAsia="Times New Roman" w:cs="Times New Roman"/>
          <w:sz w:val="24"/>
          <w:szCs w:val="24"/>
        </w:rPr>
        <w:t>7.  Conclusion</w:t>
      </w:r>
      <w:r>
        <w:rPr>
          <w:rFonts w:ascii="Times New Roman" w:hAnsi="Times New Roman" w:eastAsia="Times New Roman" w:cs="Times New Roman"/>
          <w:sz w:val="24"/>
          <w:szCs w:val="24"/>
        </w:rPr>
        <w:tab/>
        <w:t>12</w:t>
      </w:r>
    </w:p>
    <w:p w14:paraId="65E92CD7">
      <w:pPr>
        <w:tabs>
          <w:tab w:val="right" w:pos="8640"/>
        </w:tabs>
        <w:spacing w:after="100"/>
      </w:pPr>
      <w:r>
        <w:rPr>
          <w:rFonts w:ascii="Times New Roman" w:hAnsi="Times New Roman" w:eastAsia="Times New Roman" w:cs="Times New Roman"/>
          <w:sz w:val="24"/>
          <w:szCs w:val="24"/>
        </w:rPr>
        <w:t>8.  References</w:t>
      </w:r>
      <w:r>
        <w:rPr>
          <w:rFonts w:ascii="Times New Roman" w:hAnsi="Times New Roman" w:eastAsia="Times New Roman" w:cs="Times New Roman"/>
          <w:sz w:val="24"/>
          <w:szCs w:val="24"/>
        </w:rPr>
        <w:tab/>
        <w:t>13</w:t>
      </w:r>
    </w:p>
    <w:p w14:paraId="316692EA">
      <w:r>
        <w:br w:type="page"/>
      </w:r>
    </w:p>
    <w:p w14:paraId="36A399DB">
      <w:pPr>
        <w:pStyle w:val="2"/>
        <w:spacing w:before="300" w:after="150"/>
      </w:pPr>
      <w:r>
        <w:rPr>
          <w:rFonts w:ascii="Times New Roman" w:hAnsi="Times New Roman" w:eastAsia="Times New Roman" w:cs="Times New Roman"/>
          <w:b/>
          <w:bCs/>
        </w:rPr>
        <w:t>1. Introduction</w:t>
      </w:r>
    </w:p>
    <w:p w14:paraId="0D7671FC">
      <w:pPr>
        <w:spacing w:after="160"/>
        <w:jc w:val="both"/>
      </w:pPr>
      <w:r>
        <w:rPr>
          <w:rFonts w:ascii="Times New Roman" w:hAnsi="Times New Roman" w:eastAsia="Times New Roman" w:cs="Times New Roman"/>
          <w:b/>
          <w:bCs/>
          <w:sz w:val="24"/>
          <w:szCs w:val="24"/>
        </w:rPr>
        <w:t>BERT (Bidirectional Encoder Representations from Transformers)</w:t>
      </w:r>
      <w:r>
        <w:rPr>
          <w:rFonts w:ascii="Times New Roman" w:hAnsi="Times New Roman" w:eastAsia="Times New Roman" w:cs="Times New Roman"/>
          <w:sz w:val="24"/>
          <w:szCs w:val="24"/>
        </w:rPr>
        <w:t xml:space="preserve"> is the dominant architecture for extractive question answering, achieving human-level performance on SQuAD benchmarks. A critical but frequently overlooked component is its </w:t>
      </w:r>
      <w:r>
        <w:rPr>
          <w:rFonts w:ascii="Times New Roman" w:hAnsi="Times New Roman" w:eastAsia="Times New Roman" w:cs="Times New Roman"/>
          <w:b/>
          <w:bCs/>
          <w:sz w:val="24"/>
          <w:szCs w:val="24"/>
        </w:rPr>
        <w:t>WordPiece tokenizer</w:t>
      </w:r>
      <w:r>
        <w:rPr>
          <w:rFonts w:ascii="Times New Roman" w:hAnsi="Times New Roman" w:eastAsia="Times New Roman" w:cs="Times New Roman"/>
          <w:sz w:val="24"/>
          <w:szCs w:val="24"/>
        </w:rPr>
        <w:t xml:space="preserve"> — a static sub-word segmentation algorithm whose 30,522-token vocabulary was fixed during pre-training on English Wikipedia and BookCorpus.</w:t>
      </w:r>
    </w:p>
    <w:p w14:paraId="067B76E9">
      <w:pPr>
        <w:spacing w:after="160"/>
        <w:jc w:val="both"/>
      </w:pPr>
      <w:r>
        <w:rPr>
          <w:rFonts w:ascii="Times New Roman" w:hAnsi="Times New Roman" w:eastAsia="Times New Roman" w:cs="Times New Roman"/>
          <w:sz w:val="24"/>
          <w:szCs w:val="24"/>
        </w:rPr>
        <w:t>WordPiece has well-documented limitations that directly constrain downstream task performance:</w:t>
      </w:r>
    </w:p>
    <w:p w14:paraId="6BA91E27">
      <w:pPr>
        <w:pStyle w:val="14"/>
        <w:numPr>
          <w:ilvl w:val="0"/>
          <w:numId w:val="1"/>
        </w:numPr>
        <w:spacing w:after="80"/>
      </w:pPr>
      <w:r>
        <w:rPr>
          <w:rFonts w:ascii="Times New Roman" w:hAnsi="Times New Roman" w:eastAsia="Times New Roman" w:cs="Times New Roman"/>
          <w:sz w:val="24"/>
          <w:szCs w:val="24"/>
        </w:rPr>
        <w:t>Domain mismatch: WordPiece was optimised for general English; it may fragment domain-specific or rare terms unpredictably.</w:t>
      </w:r>
    </w:p>
    <w:p w14:paraId="6BCB637B">
      <w:pPr>
        <w:pStyle w:val="14"/>
        <w:numPr>
          <w:ilvl w:val="0"/>
          <w:numId w:val="1"/>
        </w:numPr>
        <w:spacing w:after="80"/>
      </w:pPr>
      <w:r>
        <w:rPr>
          <w:rFonts w:ascii="Times New Roman" w:hAnsi="Times New Roman" w:eastAsia="Times New Roman" w:cs="Times New Roman"/>
          <w:sz w:val="24"/>
          <w:szCs w:val="24"/>
        </w:rPr>
        <w:t>Static vocabulary: The tokenizer cannot adapt to new corpora or tasks after pre-training.</w:t>
      </w:r>
    </w:p>
    <w:p w14:paraId="5659C9C0">
      <w:pPr>
        <w:pStyle w:val="14"/>
        <w:numPr>
          <w:ilvl w:val="0"/>
          <w:numId w:val="1"/>
        </w:numPr>
        <w:spacing w:after="80"/>
      </w:pPr>
      <w:r>
        <w:rPr>
          <w:rFonts w:ascii="Times New Roman" w:hAnsi="Times New Roman" w:eastAsia="Times New Roman" w:cs="Times New Roman"/>
          <w:sz w:val="24"/>
          <w:szCs w:val="24"/>
        </w:rPr>
        <w:t>OOV sub-words: Rare words are split into multiple ##-prefixed sub-word tokens, diluting semantic representation.</w:t>
      </w:r>
    </w:p>
    <w:p w14:paraId="18C76440">
      <w:pPr>
        <w:pStyle w:val="14"/>
        <w:numPr>
          <w:ilvl w:val="0"/>
          <w:numId w:val="1"/>
        </w:numPr>
        <w:spacing w:after="80"/>
      </w:pPr>
      <w:r>
        <w:rPr>
          <w:rFonts w:ascii="Times New Roman" w:hAnsi="Times New Roman" w:eastAsia="Times New Roman" w:cs="Times New Roman"/>
          <w:sz w:val="24"/>
          <w:szCs w:val="24"/>
        </w:rPr>
        <w:t>Tokenization directly impacts embeddings: Each token ID maps to a row in BERT's embedding matrix. Poor tokenization weakens input signals and hurts downstream task performance.</w:t>
      </w:r>
    </w:p>
    <w:p w14:paraId="79182B7A">
      <w:pPr>
        <w:spacing w:after="80"/>
      </w:pPr>
    </w:p>
    <w:p w14:paraId="12EF636B">
      <w:pPr>
        <w:spacing w:after="160"/>
        <w:jc w:val="both"/>
      </w:pPr>
      <w:r>
        <w:rPr>
          <w:rFonts w:ascii="Times New Roman" w:hAnsi="Times New Roman" w:eastAsia="Times New Roman" w:cs="Times New Roman"/>
          <w:b/>
          <w:bCs/>
          <w:sz w:val="24"/>
          <w:szCs w:val="24"/>
        </w:rPr>
        <w:t xml:space="preserve">Objective: </w:t>
      </w:r>
      <w:r>
        <w:rPr>
          <w:rFonts w:ascii="Times New Roman" w:hAnsi="Times New Roman" w:eastAsia="Times New Roman" w:cs="Times New Roman"/>
          <w:sz w:val="24"/>
          <w:szCs w:val="24"/>
        </w:rPr>
        <w:t>Investigate whether replacing WordPiece with Byte Pair Encoding (BPE), Character-Level tokenization, or a Hybrid strategy can improve performance on SQuAD-style extractive QA. Two architectural extensions — Hybrid tokenization and Dynamic Token Merging — are also evaluated.</w:t>
      </w:r>
    </w:p>
    <w:p w14:paraId="3E9DC237">
      <w:pPr>
        <w:spacing w:after="160"/>
        <w:jc w:val="both"/>
      </w:pPr>
      <w:r>
        <w:rPr>
          <w:rFonts w:ascii="Times New Roman" w:hAnsi="Times New Roman" w:eastAsia="Times New Roman" w:cs="Times New Roman"/>
          <w:b/>
          <w:bCs/>
          <w:sz w:val="24"/>
          <w:szCs w:val="24"/>
        </w:rPr>
        <w:t xml:space="preserve">Dataset: </w:t>
      </w:r>
      <w:r>
        <w:rPr>
          <w:rFonts w:ascii="Times New Roman" w:hAnsi="Times New Roman" w:eastAsia="Times New Roman" w:cs="Times New Roman"/>
          <w:sz w:val="24"/>
          <w:szCs w:val="24"/>
        </w:rPr>
        <w:t>A subset of SQuAD v1.1 (1,000 training / 500 validation examples) is used. Running all four tokenizer experiments end-to-end on Google Colab T4 GPU would exceed session time limits on the full 87k-example dataset; the relative ordering of tokenizer performance is expected to be consistent at larger scale.</w:t>
      </w:r>
    </w:p>
    <w:p w14:paraId="101EB2EC">
      <w:pPr>
        <w:spacing w:after="80"/>
      </w:pPr>
    </w:p>
    <w:p w14:paraId="4ECD1905">
      <w:pPr>
        <w:spacing w:after="160"/>
        <w:jc w:val="both"/>
      </w:pPr>
      <w:r>
        <w:rPr>
          <w:rFonts w:ascii="Times New Roman" w:hAnsi="Times New Roman" w:eastAsia="Times New Roman" w:cs="Times New Roman"/>
          <w:b/>
          <w:bCs/>
          <w:sz w:val="24"/>
          <w:szCs w:val="24"/>
        </w:rPr>
        <w:t xml:space="preserve">Code &amp; Notebook: </w:t>
      </w:r>
      <w:r>
        <w:rPr>
          <w:rFonts w:ascii="Times New Roman" w:hAnsi="Times New Roman" w:eastAsia="Times New Roman" w:cs="Times New Roman"/>
          <w:sz w:val="24"/>
          <w:szCs w:val="24"/>
        </w:rPr>
        <w:t>All code is publicly available:</w:t>
      </w:r>
    </w:p>
    <w:p w14:paraId="5118F17A">
      <w:pPr>
        <w:spacing w:after="80"/>
      </w:pPr>
      <w:r>
        <w:rPr>
          <w:rFonts w:ascii="Times New Roman" w:hAnsi="Times New Roman" w:eastAsia="Times New Roman" w:cs="Times New Roman"/>
          <w:sz w:val="24"/>
          <w:szCs w:val="24"/>
        </w:rPr>
        <w:t xml:space="preserve">  Google Colab: </w:t>
      </w:r>
      <w:r>
        <w:fldChar w:fldCharType="begin"/>
      </w:r>
      <w:r>
        <w:instrText xml:space="preserve"> HYPERLINK "https://colab.research.google.com/drive/1Is5d-3qjTQQGQiWAmtAdc7ovETTkdemL?usp=sharing" </w:instrText>
      </w:r>
      <w:r>
        <w:fldChar w:fldCharType="separate"/>
      </w:r>
      <w:r>
        <w:rPr>
          <w:rStyle w:val="12"/>
          <w:rFonts w:ascii="Times New Roman" w:hAnsi="Times New Roman" w:eastAsia="Times New Roman" w:cs="Times New Roman"/>
          <w:color w:val="1155CC"/>
          <w:sz w:val="24"/>
          <w:szCs w:val="24"/>
          <w:u w:val="single"/>
        </w:rPr>
        <w:t>https://colab.research.google.com/drive/1Is5d-3qjTQQGQiWAmtAdc7ovETTkdemL?usp=sharing</w:t>
      </w:r>
      <w:r>
        <w:rPr>
          <w:rStyle w:val="12"/>
          <w:rFonts w:ascii="Times New Roman" w:hAnsi="Times New Roman" w:eastAsia="Times New Roman" w:cs="Times New Roman"/>
          <w:color w:val="1155CC"/>
          <w:sz w:val="24"/>
          <w:szCs w:val="24"/>
          <w:u w:val="single"/>
        </w:rPr>
        <w:fldChar w:fldCharType="end"/>
      </w:r>
    </w:p>
    <w:p w14:paraId="6C33E073">
      <w:pPr>
        <w:spacing w:after="160"/>
      </w:pPr>
      <w:r>
        <w:rPr>
          <w:rFonts w:ascii="Times New Roman" w:hAnsi="Times New Roman" w:eastAsia="Times New Roman" w:cs="Times New Roman"/>
          <w:sz w:val="24"/>
          <w:szCs w:val="24"/>
        </w:rPr>
        <w:t xml:space="preserve">  GitHub: </w:t>
      </w:r>
      <w:r>
        <w:fldChar w:fldCharType="begin"/>
      </w:r>
      <w:r>
        <w:instrText xml:space="preserve"> HYPERLINK "https://github.com/Ayush-jais05/bert-tokenization-project" </w:instrText>
      </w:r>
      <w:r>
        <w:fldChar w:fldCharType="separate"/>
      </w:r>
      <w:r>
        <w:rPr>
          <w:rStyle w:val="12"/>
          <w:rFonts w:ascii="Times New Roman" w:hAnsi="Times New Roman" w:eastAsia="Times New Roman" w:cs="Times New Roman"/>
          <w:color w:val="1155CC"/>
          <w:sz w:val="24"/>
          <w:szCs w:val="24"/>
          <w:u w:val="single"/>
        </w:rPr>
        <w:t>https://github.com/Ayush-jais05/bert-tokenization-project</w:t>
      </w:r>
      <w:r>
        <w:rPr>
          <w:rStyle w:val="12"/>
          <w:rFonts w:ascii="Times New Roman" w:hAnsi="Times New Roman" w:eastAsia="Times New Roman" w:cs="Times New Roman"/>
          <w:color w:val="1155CC"/>
          <w:sz w:val="24"/>
          <w:szCs w:val="24"/>
          <w:u w:val="single"/>
        </w:rPr>
        <w:fldChar w:fldCharType="end"/>
      </w:r>
    </w:p>
    <w:p w14:paraId="181D3320">
      <w:r>
        <w:br w:type="page"/>
      </w:r>
    </w:p>
    <w:p w14:paraId="40030183">
      <w:pPr>
        <w:pStyle w:val="2"/>
        <w:spacing w:before="300" w:after="150"/>
      </w:pPr>
      <w:r>
        <w:rPr>
          <w:rFonts w:ascii="Times New Roman" w:hAnsi="Times New Roman" w:eastAsia="Times New Roman" w:cs="Times New Roman"/>
          <w:b/>
          <w:bCs/>
        </w:rPr>
        <w:t>2. Related Work</w:t>
      </w:r>
    </w:p>
    <w:p w14:paraId="199BA918">
      <w:pPr>
        <w:pStyle w:val="3"/>
        <w:spacing w:before="200" w:after="100"/>
      </w:pPr>
      <w:r>
        <w:rPr>
          <w:rFonts w:ascii="Times New Roman" w:hAnsi="Times New Roman" w:eastAsia="Times New Roman" w:cs="Times New Roman"/>
          <w:b/>
          <w:bCs/>
        </w:rPr>
        <w:t>2.1 Sub-word Tokenization</w:t>
      </w:r>
    </w:p>
    <w:p w14:paraId="2B57428A">
      <w:pPr>
        <w:spacing w:after="160"/>
        <w:jc w:val="both"/>
      </w:pPr>
      <w:r>
        <w:rPr>
          <w:rFonts w:ascii="Times New Roman" w:hAnsi="Times New Roman" w:eastAsia="Times New Roman" w:cs="Times New Roman"/>
          <w:sz w:val="24"/>
          <w:szCs w:val="24"/>
        </w:rPr>
        <w:t>The original WordPiece algorithm was introduced for Japanese and Korean segmentation and adapted by Devlin et al. (2019) for BERT. Its greedy, frequency-based segmentation builds a vocabulary of sub-word units that balances coverage and compactness. While powerful for general English, its fixed vocabulary is a fundamental limitation for domain adaptation.</w:t>
      </w:r>
    </w:p>
    <w:p w14:paraId="3DF8DC02">
      <w:pPr>
        <w:pStyle w:val="3"/>
        <w:spacing w:before="200" w:after="100"/>
      </w:pPr>
      <w:r>
        <w:rPr>
          <w:rFonts w:ascii="Times New Roman" w:hAnsi="Times New Roman" w:eastAsia="Times New Roman" w:cs="Times New Roman"/>
          <w:b/>
          <w:bCs/>
        </w:rPr>
        <w:t>2.2 Byte Pair Encoding (BPE)</w:t>
      </w:r>
    </w:p>
    <w:p w14:paraId="77885DAD">
      <w:pPr>
        <w:spacing w:after="160"/>
        <w:jc w:val="both"/>
      </w:pPr>
      <w:r>
        <w:rPr>
          <w:rFonts w:ascii="Times New Roman" w:hAnsi="Times New Roman" w:eastAsia="Times New Roman" w:cs="Times New Roman"/>
          <w:sz w:val="24"/>
          <w:szCs w:val="24"/>
        </w:rPr>
        <w:t>Sennrich et al. (2016) proposed BPE for neural machine translation, building a vocabulary by iteratively merging the most frequent adjacent byte or character pairs. BPE is corpus-driven, allowing task-specific vocabulary construction. It is used in GPT-2 and RoBERTa, where BPE combined with a larger pre-training corpus matches or surpasses BERT's WordPiece performance.</w:t>
      </w:r>
    </w:p>
    <w:p w14:paraId="63C7EEA6">
      <w:pPr>
        <w:pStyle w:val="3"/>
        <w:spacing w:before="200" w:after="100"/>
      </w:pPr>
      <w:r>
        <w:rPr>
          <w:rFonts w:ascii="Times New Roman" w:hAnsi="Times New Roman" w:eastAsia="Times New Roman" w:cs="Times New Roman"/>
          <w:b/>
          <w:bCs/>
        </w:rPr>
        <w:t>2.3 Character-Level Models</w:t>
      </w:r>
    </w:p>
    <w:p w14:paraId="04C1528E">
      <w:pPr>
        <w:spacing w:after="160"/>
        <w:jc w:val="both"/>
      </w:pPr>
      <w:r>
        <w:rPr>
          <w:rFonts w:ascii="Times New Roman" w:hAnsi="Times New Roman" w:eastAsia="Times New Roman" w:cs="Times New Roman"/>
          <w:sz w:val="24"/>
          <w:szCs w:val="24"/>
        </w:rPr>
        <w:t>Character-level models such as ELMo's character-CNN and CharBERT (Ma et al., 2020) eliminate the OOV problem entirely by operating at the character level. They achieve zero unknown-token rates but produce sequences five to ten times longer than word-level tokenizers, stressing positional attention mechanisms and dramatically increasing computational cost.</w:t>
      </w:r>
    </w:p>
    <w:p w14:paraId="5BF4414E">
      <w:pPr>
        <w:pStyle w:val="3"/>
        <w:spacing w:before="200" w:after="100"/>
      </w:pPr>
      <w:r>
        <w:rPr>
          <w:rFonts w:ascii="Times New Roman" w:hAnsi="Times New Roman" w:eastAsia="Times New Roman" w:cs="Times New Roman"/>
          <w:b/>
          <w:bCs/>
        </w:rPr>
        <w:t>2.4 Hybrid Approaches</w:t>
      </w:r>
    </w:p>
    <w:p w14:paraId="7507EA28">
      <w:pPr>
        <w:spacing w:after="160"/>
        <w:jc w:val="both"/>
      </w:pPr>
      <w:r>
        <w:rPr>
          <w:rFonts w:ascii="Times New Roman" w:hAnsi="Times New Roman" w:eastAsia="Times New Roman" w:cs="Times New Roman"/>
          <w:sz w:val="24"/>
          <w:szCs w:val="24"/>
        </w:rPr>
        <w:t>Hybrid tokenization strategies, combining word tokens for frequent terms with character or sub-word fallback for rare words, have been proposed as a middle-ground approach. They preserve semantic coherence for common vocabulary while maintaining OOV robustness for unseen terms.</w:t>
      </w:r>
    </w:p>
    <w:p w14:paraId="5D1CCD89">
      <w:pPr>
        <w:pStyle w:val="3"/>
        <w:spacing w:before="200" w:after="100"/>
      </w:pPr>
      <w:r>
        <w:rPr>
          <w:rFonts w:ascii="Times New Roman" w:hAnsi="Times New Roman" w:eastAsia="Times New Roman" w:cs="Times New Roman"/>
          <w:b/>
          <w:bCs/>
        </w:rPr>
        <w:t>2.5 Dynamic Token Merging</w:t>
      </w:r>
    </w:p>
    <w:p w14:paraId="10691B2C">
      <w:pPr>
        <w:spacing w:after="160"/>
        <w:jc w:val="both"/>
      </w:pPr>
      <w:r>
        <w:rPr>
          <w:rFonts w:ascii="Times New Roman" w:hAnsi="Times New Roman" w:eastAsia="Times New Roman" w:cs="Times New Roman"/>
          <w:sz w:val="24"/>
          <w:szCs w:val="24"/>
        </w:rPr>
        <w:t>Token Merging (ToMe, Bolya et al. 2022) introduced the concept of adaptively merging similar tokens in Vision Transformers to reduce computational cost without significant performance loss. Applied to NLP, a learnable scorer can identify and merge semantically redundant adjacent tokens during fine-tuning, compressing sequence length dynamically based on task-specific attention patterns.</w:t>
      </w:r>
    </w:p>
    <w:p w14:paraId="0F8811AC">
      <w:r>
        <w:br w:type="page"/>
      </w:r>
    </w:p>
    <w:p w14:paraId="221C23C1">
      <w:pPr>
        <w:pStyle w:val="2"/>
        <w:spacing w:before="300" w:after="150"/>
      </w:pPr>
      <w:r>
        <w:rPr>
          <w:rFonts w:ascii="Times New Roman" w:hAnsi="Times New Roman" w:eastAsia="Times New Roman" w:cs="Times New Roman"/>
          <w:b/>
          <w:bCs/>
        </w:rPr>
        <w:t>3. Methodology</w:t>
      </w:r>
    </w:p>
    <w:p w14:paraId="2591D519">
      <w:pPr>
        <w:pStyle w:val="3"/>
        <w:spacing w:before="200" w:after="100"/>
      </w:pPr>
      <w:r>
        <w:rPr>
          <w:rFonts w:ascii="Times New Roman" w:hAnsi="Times New Roman" w:eastAsia="Times New Roman" w:cs="Times New Roman"/>
          <w:b/>
          <w:bCs/>
        </w:rPr>
        <w:t>3.1 Baseline: BERT + WordPiece</w:t>
      </w:r>
    </w:p>
    <w:p w14:paraId="5C04A9ED">
      <w:pPr>
        <w:spacing w:after="160"/>
        <w:jc w:val="both"/>
      </w:pPr>
      <w:r>
        <w:rPr>
          <w:rFonts w:ascii="Times New Roman" w:hAnsi="Times New Roman" w:eastAsia="Times New Roman" w:cs="Times New Roman"/>
          <w:b/>
          <w:bCs/>
          <w:sz w:val="24"/>
          <w:szCs w:val="24"/>
        </w:rPr>
        <w:t xml:space="preserve">Tokenizer: </w:t>
      </w:r>
      <w:r>
        <w:rPr>
          <w:rFonts w:ascii="Times New Roman" w:hAnsi="Times New Roman" w:eastAsia="Times New Roman" w:cs="Times New Roman"/>
          <w:sz w:val="24"/>
          <w:szCs w:val="24"/>
        </w:rPr>
        <w:t>BertTokenizerFast.from_pretrained('bert-base-uncased') — native WordPiece with a 30,522-token vocabulary trained on Wikipedia + BookCorpus.</w:t>
      </w:r>
    </w:p>
    <w:p w14:paraId="36CA7D20">
      <w:pPr>
        <w:spacing w:after="160"/>
        <w:jc w:val="both"/>
      </w:pPr>
      <w:r>
        <w:rPr>
          <w:rFonts w:ascii="Times New Roman" w:hAnsi="Times New Roman" w:eastAsia="Times New Roman" w:cs="Times New Roman"/>
          <w:b/>
          <w:bCs/>
          <w:sz w:val="24"/>
          <w:szCs w:val="24"/>
        </w:rPr>
        <w:t xml:space="preserve">Model: </w:t>
      </w:r>
      <w:r>
        <w:rPr>
          <w:rFonts w:ascii="Times New Roman" w:hAnsi="Times New Roman" w:eastAsia="Times New Roman" w:cs="Times New Roman"/>
          <w:sz w:val="24"/>
          <w:szCs w:val="24"/>
        </w:rPr>
        <w:t>BertForQuestionAnswering.from_pretrained('bert-base-uncased'). The two linear span-prediction layers (start/end classifiers) on top of BERT are randomly initialised as they do not exist in the pre-trained checkpoint — this is expected and normal behaviour.</w:t>
      </w:r>
    </w:p>
    <w:p w14:paraId="1360315B">
      <w:pPr>
        <w:spacing w:after="160"/>
        <w:jc w:val="both"/>
      </w:pPr>
      <w:r>
        <w:rPr>
          <w:rFonts w:ascii="Times New Roman" w:hAnsi="Times New Roman" w:eastAsia="Times New Roman" w:cs="Times New Roman"/>
          <w:b/>
          <w:bCs/>
          <w:sz w:val="24"/>
          <w:szCs w:val="24"/>
        </w:rPr>
        <w:t xml:space="preserve">Advantage: </w:t>
      </w:r>
      <w:r>
        <w:rPr>
          <w:rFonts w:ascii="Times New Roman" w:hAnsi="Times New Roman" w:eastAsia="Times New Roman" w:cs="Times New Roman"/>
          <w:sz w:val="24"/>
          <w:szCs w:val="24"/>
        </w:rPr>
        <w:t>Every token ID maps directly to a row in BERT's pre-trained embedding matrix, providing a rich, well-aligned representational head start that alternative tokenizers cannot replicate without re-pre-training.</w:t>
      </w:r>
    </w:p>
    <w:p w14:paraId="4E733844">
      <w:pPr>
        <w:pStyle w:val="3"/>
        <w:spacing w:before="200" w:after="100"/>
      </w:pPr>
      <w:r>
        <w:rPr>
          <w:rFonts w:ascii="Times New Roman" w:hAnsi="Times New Roman" w:eastAsia="Times New Roman" w:cs="Times New Roman"/>
          <w:b/>
          <w:bCs/>
        </w:rPr>
        <w:t>3.2 Improved Model 1: BERT + BPE</w:t>
      </w:r>
    </w:p>
    <w:p w14:paraId="3C7DE86C">
      <w:pPr>
        <w:spacing w:after="160"/>
        <w:jc w:val="both"/>
      </w:pPr>
      <w:r>
        <w:rPr>
          <w:rFonts w:ascii="Times New Roman" w:hAnsi="Times New Roman" w:eastAsia="Times New Roman" w:cs="Times New Roman"/>
          <w:b/>
          <w:bCs/>
          <w:sz w:val="24"/>
          <w:szCs w:val="24"/>
        </w:rPr>
        <w:t xml:space="preserve">Tokenizer: </w:t>
      </w:r>
      <w:r>
        <w:rPr>
          <w:rFonts w:ascii="Times New Roman" w:hAnsi="Times New Roman" w:eastAsia="Times New Roman" w:cs="Times New Roman"/>
          <w:sz w:val="24"/>
          <w:szCs w:val="24"/>
        </w:rPr>
        <w:t>A BPE tokenizer is trained from scratch on the SQuAD training corpus (contexts concatenated with questions) using HuggingFace's Tokenizers library. Vocabulary size is matched to WordPiece (30,522). Special BERT tokens ([CLS], [SEP], [PAD], [MASK], [UNK]) are preserved via TemplateProcessing.</w:t>
      </w:r>
    </w:p>
    <w:p w14:paraId="1C93E06D">
      <w:pPr>
        <w:spacing w:after="160"/>
        <w:jc w:val="both"/>
      </w:pPr>
      <w:r>
        <w:rPr>
          <w:rFonts w:ascii="Times New Roman" w:hAnsi="Times New Roman" w:eastAsia="Times New Roman" w:cs="Times New Roman"/>
          <w:b/>
          <w:bCs/>
          <w:sz w:val="24"/>
          <w:szCs w:val="24"/>
        </w:rPr>
        <w:t xml:space="preserve">Model: </w:t>
      </w:r>
      <w:r>
        <w:rPr>
          <w:rFonts w:ascii="Times New Roman" w:hAnsi="Times New Roman" w:eastAsia="Times New Roman" w:cs="Times New Roman"/>
          <w:sz w:val="24"/>
          <w:szCs w:val="24"/>
        </w:rPr>
        <w:t>BertForQuestionAnswering with resize_token_embeddings(len(bpe_tokenizer)). New embedding rows are randomly initialised, meaning BPE starts without pre-aligned embeddings — trading representational alignment for corpus-adapted vocabulary.</w:t>
      </w:r>
    </w:p>
    <w:p w14:paraId="468596BD">
      <w:pPr>
        <w:spacing w:after="160"/>
        <w:jc w:val="both"/>
      </w:pPr>
      <w:r>
        <w:rPr>
          <w:rFonts w:ascii="Times New Roman" w:hAnsi="Times New Roman" w:eastAsia="Times New Roman" w:cs="Times New Roman"/>
          <w:b/>
          <w:bCs/>
          <w:sz w:val="24"/>
          <w:szCs w:val="24"/>
        </w:rPr>
        <w:t xml:space="preserve">Note: </w:t>
      </w:r>
      <w:r>
        <w:rPr>
          <w:rFonts w:ascii="Times New Roman" w:hAnsi="Times New Roman" w:eastAsia="Times New Roman" w:cs="Times New Roman"/>
          <w:sz w:val="24"/>
          <w:szCs w:val="24"/>
        </w:rPr>
        <w:t>Since a new BPE vocabulary is trained, BERT's embedding layer must be resized. New rows start randomly initialised, which is why performance may be lower than WordPiece despite a more task-aligned vocabulary.</w:t>
      </w:r>
    </w:p>
    <w:p w14:paraId="7E451D84">
      <w:pPr>
        <w:pStyle w:val="3"/>
        <w:spacing w:before="200" w:after="100"/>
      </w:pPr>
      <w:r>
        <w:rPr>
          <w:rFonts w:ascii="Times New Roman" w:hAnsi="Times New Roman" w:eastAsia="Times New Roman" w:cs="Times New Roman"/>
          <w:b/>
          <w:bCs/>
        </w:rPr>
        <w:t>3.3 Improved Model 2: BERT + Character-Level Tokenization</w:t>
      </w:r>
    </w:p>
    <w:p w14:paraId="43FB232C">
      <w:pPr>
        <w:spacing w:after="160"/>
        <w:jc w:val="both"/>
      </w:pPr>
      <w:r>
        <w:rPr>
          <w:rFonts w:ascii="Times New Roman" w:hAnsi="Times New Roman" w:eastAsia="Times New Roman" w:cs="Times New Roman"/>
          <w:b/>
          <w:bCs/>
          <w:sz w:val="24"/>
          <w:szCs w:val="24"/>
        </w:rPr>
        <w:t xml:space="preserve">Tokenizer: </w:t>
      </w:r>
      <w:r>
        <w:rPr>
          <w:rFonts w:ascii="Times New Roman" w:hAnsi="Times New Roman" w:eastAsia="Times New Roman" w:cs="Times New Roman"/>
          <w:sz w:val="24"/>
          <w:szCs w:val="24"/>
        </w:rPr>
        <w:t>Implemented via a BPE model with vocab_size=500 and CharDelimiterSplit pre-tokenizer, which forces character-level splits for all inputs. This approximates pure character-level tokenization within a HuggingFace-compatible interface.</w:t>
      </w:r>
    </w:p>
    <w:p w14:paraId="0E48EDB1">
      <w:pPr>
        <w:spacing w:after="160"/>
        <w:jc w:val="both"/>
      </w:pPr>
      <w:r>
        <w:rPr>
          <w:rFonts w:ascii="Times New Roman" w:hAnsi="Times New Roman" w:eastAsia="Times New Roman" w:cs="Times New Roman"/>
          <w:b/>
          <w:bCs/>
          <w:sz w:val="24"/>
          <w:szCs w:val="24"/>
        </w:rPr>
        <w:t xml:space="preserve">Model: </w:t>
      </w:r>
      <w:r>
        <w:rPr>
          <w:rFonts w:ascii="Times New Roman" w:hAnsi="Times New Roman" w:eastAsia="Times New Roman" w:cs="Times New Roman"/>
          <w:sz w:val="24"/>
          <w:szCs w:val="24"/>
        </w:rPr>
        <w:t>BertForQuestionAnswering with resize_token_embeddings. max_length is reduced to 256 (from 384) and doc_stride to 64 because character sequences are approximately 5x longer than WordPiece sequences, straining the 512-token positional limit.</w:t>
      </w:r>
    </w:p>
    <w:p w14:paraId="6F8D4DF5">
      <w:pPr>
        <w:spacing w:after="160"/>
        <w:jc w:val="both"/>
      </w:pPr>
      <w:r>
        <w:rPr>
          <w:rFonts w:ascii="Times New Roman" w:hAnsi="Times New Roman" w:eastAsia="Times New Roman" w:cs="Times New Roman"/>
          <w:b/>
          <w:bCs/>
          <w:sz w:val="24"/>
          <w:szCs w:val="24"/>
        </w:rPr>
        <w:t xml:space="preserve">Limitation: </w:t>
      </w:r>
      <w:r>
        <w:rPr>
          <w:rFonts w:ascii="Times New Roman" w:hAnsi="Times New Roman" w:eastAsia="Times New Roman" w:cs="Times New Roman"/>
          <w:sz w:val="24"/>
          <w:szCs w:val="24"/>
        </w:rPr>
        <w:t>Character-level tokenization is significantly slower to train and evaluate due to longer padded sequences, and it discards sub-word semantic structure that BERT relies on for contextual understanding.</w:t>
      </w:r>
    </w:p>
    <w:p w14:paraId="7C0F0058">
      <w:pPr>
        <w:pStyle w:val="3"/>
        <w:spacing w:before="200" w:after="100"/>
      </w:pPr>
      <w:r>
        <w:rPr>
          <w:rFonts w:ascii="Times New Roman" w:hAnsi="Times New Roman" w:eastAsia="Times New Roman" w:cs="Times New Roman"/>
          <w:b/>
          <w:bCs/>
        </w:rPr>
        <w:t>3.4 Extension 1: BERT + Hybrid Tokenization (Word + Character)</w:t>
      </w:r>
    </w:p>
    <w:p w14:paraId="0C48FFBF">
      <w:pPr>
        <w:spacing w:after="160"/>
        <w:jc w:val="both"/>
      </w:pPr>
      <w:r>
        <w:rPr>
          <w:rFonts w:ascii="Times New Roman" w:hAnsi="Times New Roman" w:eastAsia="Times New Roman" w:cs="Times New Roman"/>
          <w:b/>
          <w:bCs/>
          <w:sz w:val="24"/>
          <w:szCs w:val="24"/>
        </w:rPr>
        <w:t xml:space="preserve">Tokenizer: </w:t>
      </w:r>
      <w:r>
        <w:rPr>
          <w:rFonts w:ascii="Times New Roman" w:hAnsi="Times New Roman" w:eastAsia="Times New Roman" w:cs="Times New Roman"/>
          <w:sz w:val="24"/>
          <w:szCs w:val="24"/>
        </w:rPr>
        <w:t>Frequent words (appearing ≥ 5 times in the training corpus) are kept as single word-level tokens, preserving their semantic identity. Infrequent or unseen words fall back to individual characters, retaining OOV robustness. This produces a vocabulary of approximately 4,780 tokens.</w:t>
      </w:r>
    </w:p>
    <w:p w14:paraId="76D34AA4">
      <w:pPr>
        <w:spacing w:after="160"/>
        <w:jc w:val="both"/>
      </w:pPr>
      <w:r>
        <w:rPr>
          <w:rFonts w:ascii="Times New Roman" w:hAnsi="Times New Roman" w:eastAsia="Times New Roman" w:cs="Times New Roman"/>
          <w:b/>
          <w:bCs/>
          <w:sz w:val="24"/>
          <w:szCs w:val="24"/>
        </w:rPr>
        <w:t xml:space="preserve">Model: </w:t>
      </w:r>
      <w:r>
        <w:rPr>
          <w:rFonts w:ascii="Times New Roman" w:hAnsi="Times New Roman" w:eastAsia="Times New Roman" w:cs="Times New Roman"/>
          <w:sz w:val="24"/>
          <w:szCs w:val="24"/>
        </w:rPr>
        <w:t>BertForQuestionAnswering with resize_token_embeddings. max_length=300, doc_stride=64. The hybrid approach reduces average sequence length compared to pure character tokenization while handling rare terms more gracefully than WordPiece.</w:t>
      </w:r>
    </w:p>
    <w:p w14:paraId="554EE18D">
      <w:pPr>
        <w:pStyle w:val="3"/>
        <w:spacing w:before="200" w:after="100"/>
      </w:pPr>
      <w:r>
        <w:rPr>
          <w:rFonts w:ascii="Times New Roman" w:hAnsi="Times New Roman" w:eastAsia="Times New Roman" w:cs="Times New Roman"/>
          <w:b/>
          <w:bCs/>
        </w:rPr>
        <w:t>3.5 Extension 2: Dynamic Token Merging</w:t>
      </w:r>
    </w:p>
    <w:p w14:paraId="5126C04E">
      <w:pPr>
        <w:spacing w:after="160"/>
        <w:jc w:val="both"/>
      </w:pPr>
      <w:r>
        <w:rPr>
          <w:rFonts w:ascii="Times New Roman" w:hAnsi="Times New Roman" w:eastAsia="Times New Roman" w:cs="Times New Roman"/>
          <w:b/>
          <w:bCs/>
          <w:sz w:val="24"/>
          <w:szCs w:val="24"/>
        </w:rPr>
        <w:t xml:space="preserve">Architecture: </w:t>
      </w:r>
      <w:r>
        <w:rPr>
          <w:rFonts w:ascii="Times New Roman" w:hAnsi="Times New Roman" w:eastAsia="Times New Roman" w:cs="Times New Roman"/>
          <w:sz w:val="24"/>
          <w:szCs w:val="24"/>
        </w:rPr>
        <w:t>A lightweight DynamicMergeLayer is inserted between BERT's embedding output and encoder stack. For each adjacent token pair (i, i+1), a two-layer MLP scorer (hidden_size×2 → 64 → 1, with ReLU + Sigmoid activations) assigns a merge probability. Pairs scoring above the merge_threshold (0.6) are merged by averaging their embeddings and collapsing the corresponding attention mask entry.</w:t>
      </w:r>
    </w:p>
    <w:p w14:paraId="3829FA18">
      <w:pPr>
        <w:spacing w:after="160"/>
        <w:jc w:val="both"/>
      </w:pPr>
      <w:r>
        <w:rPr>
          <w:rFonts w:ascii="Times New Roman" w:hAnsi="Times New Roman" w:eastAsia="Times New Roman" w:cs="Times New Roman"/>
          <w:b/>
          <w:bCs/>
          <w:sz w:val="24"/>
          <w:szCs w:val="24"/>
        </w:rPr>
        <w:t xml:space="preserve">Training: </w:t>
      </w:r>
      <w:r>
        <w:rPr>
          <w:rFonts w:ascii="Times New Roman" w:hAnsi="Times New Roman" w:eastAsia="Times New Roman" w:cs="Times New Roman"/>
          <w:sz w:val="24"/>
          <w:szCs w:val="24"/>
        </w:rPr>
        <w:t>The same WordPiece-preprocessed data and DataLoaders as the baseline are reused; only the model architecture differs. This isolates the contribution of the merge layer from any tokenization effects.</w:t>
      </w:r>
    </w:p>
    <w:p w14:paraId="58010088">
      <w:pPr>
        <w:spacing w:after="160"/>
        <w:jc w:val="both"/>
      </w:pPr>
      <w:r>
        <w:rPr>
          <w:rFonts w:ascii="Times New Roman" w:hAnsi="Times New Roman" w:eastAsia="Times New Roman" w:cs="Times New Roman"/>
          <w:b/>
          <w:bCs/>
          <w:sz w:val="24"/>
          <w:szCs w:val="24"/>
        </w:rPr>
        <w:t xml:space="preserve">Inspiration: </w:t>
      </w:r>
      <w:r>
        <w:rPr>
          <w:rFonts w:ascii="Times New Roman" w:hAnsi="Times New Roman" w:eastAsia="Times New Roman" w:cs="Times New Roman"/>
          <w:sz w:val="24"/>
          <w:szCs w:val="24"/>
        </w:rPr>
        <w:t>This is inspired by Token Merging (ToMe, Bolya et al. 2022) and allows the model to adaptively compress sequences based on task-specific attention patterns — keeping semantically rich tokens separate while collapsing redundant ones.</w:t>
      </w:r>
    </w:p>
    <w:p w14:paraId="6E224007">
      <w:pPr>
        <w:pStyle w:val="3"/>
        <w:spacing w:before="200" w:after="100"/>
      </w:pPr>
      <w:r>
        <w:rPr>
          <w:rFonts w:ascii="Times New Roman" w:hAnsi="Times New Roman" w:eastAsia="Times New Roman" w:cs="Times New Roman"/>
          <w:b/>
          <w:bCs/>
        </w:rPr>
        <w:t>3.6 Shared Experimental Protocol</w:t>
      </w:r>
    </w:p>
    <w:p w14:paraId="53A55093">
      <w:pPr>
        <w:spacing w:after="160"/>
        <w:jc w:val="both"/>
      </w:pPr>
      <w:r>
        <w:rPr>
          <w:rFonts w:ascii="Times New Roman" w:hAnsi="Times New Roman" w:eastAsia="Times New Roman" w:cs="Times New Roman"/>
          <w:sz w:val="24"/>
          <w:szCs w:val="24"/>
        </w:rPr>
        <w:t>All five experiments use identical hyperparameters to ensure a fair, controlled comparison:</w:t>
      </w:r>
    </w:p>
    <w:p w14:paraId="75459861">
      <w:pPr>
        <w:spacing w:after="4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281F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6EE9FE86">
            <w:r>
              <w:rPr>
                <w:rFonts w:ascii="Times New Roman" w:hAnsi="Times New Roman" w:eastAsia="Times New Roman" w:cs="Times New Roman"/>
                <w:b/>
                <w:bCs/>
                <w:color w:val="FFFFFF"/>
                <w:sz w:val="20"/>
                <w:szCs w:val="20"/>
              </w:rPr>
              <w:t>Hyperparameter</w:t>
            </w:r>
          </w:p>
        </w:tc>
        <w:tc>
          <w:tcPr>
            <w:tcW w:w="30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1621909B">
            <w:r>
              <w:rPr>
                <w:rFonts w:ascii="Times New Roman" w:hAnsi="Times New Roman" w:eastAsia="Times New Roman" w:cs="Times New Roman"/>
                <w:b/>
                <w:bCs/>
                <w:color w:val="FFFFFF"/>
                <w:sz w:val="20"/>
                <w:szCs w:val="20"/>
              </w:rPr>
              <w:t>Value</w:t>
            </w:r>
          </w:p>
        </w:tc>
      </w:tr>
      <w:tr w14:paraId="6231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469BCCFA">
            <w:r>
              <w:rPr>
                <w:rFonts w:ascii="Times New Roman" w:hAnsi="Times New Roman" w:eastAsia="Times New Roman" w:cs="Times New Roman"/>
                <w:sz w:val="20"/>
                <w:szCs w:val="20"/>
              </w:rPr>
              <w:t>Optimizer</w:t>
            </w:r>
          </w:p>
        </w:tc>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276C6B01">
            <w:pPr>
              <w:jc w:val="center"/>
            </w:pPr>
            <w:r>
              <w:rPr>
                <w:rFonts w:ascii="Times New Roman" w:hAnsi="Times New Roman" w:eastAsia="Times New Roman" w:cs="Times New Roman"/>
                <w:sz w:val="20"/>
                <w:szCs w:val="20"/>
              </w:rPr>
              <w:t>AdamW</w:t>
            </w:r>
          </w:p>
        </w:tc>
      </w:tr>
      <w:tr w14:paraId="183B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537E2961">
            <w:r>
              <w:rPr>
                <w:rFonts w:ascii="Times New Roman" w:hAnsi="Times New Roman" w:eastAsia="Times New Roman" w:cs="Times New Roman"/>
                <w:sz w:val="20"/>
                <w:szCs w:val="20"/>
              </w:rPr>
              <w:t>Learning Rate</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49579180">
            <w:pPr>
              <w:jc w:val="center"/>
            </w:pPr>
            <w:r>
              <w:rPr>
                <w:rFonts w:ascii="Times New Roman" w:hAnsi="Times New Roman" w:eastAsia="Times New Roman" w:cs="Times New Roman"/>
                <w:sz w:val="20"/>
                <w:szCs w:val="20"/>
              </w:rPr>
              <w:t>2e-5</w:t>
            </w:r>
          </w:p>
        </w:tc>
      </w:tr>
      <w:tr w14:paraId="4D3D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6C4865CD">
            <w:r>
              <w:rPr>
                <w:rFonts w:ascii="Times New Roman" w:hAnsi="Times New Roman" w:eastAsia="Times New Roman" w:cs="Times New Roman"/>
                <w:sz w:val="20"/>
                <w:szCs w:val="20"/>
              </w:rPr>
              <w:t>Epochs</w:t>
            </w:r>
          </w:p>
        </w:tc>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5EE6DE17">
            <w:pPr>
              <w:jc w:val="center"/>
            </w:pPr>
            <w:r>
              <w:rPr>
                <w:rFonts w:ascii="Times New Roman" w:hAnsi="Times New Roman" w:eastAsia="Times New Roman" w:cs="Times New Roman"/>
                <w:sz w:val="20"/>
                <w:szCs w:val="20"/>
              </w:rPr>
              <w:t>2</w:t>
            </w:r>
          </w:p>
        </w:tc>
      </w:tr>
      <w:tr w14:paraId="7304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0C8BE6F7">
            <w:r>
              <w:rPr>
                <w:rFonts w:ascii="Times New Roman" w:hAnsi="Times New Roman" w:eastAsia="Times New Roman" w:cs="Times New Roman"/>
                <w:sz w:val="20"/>
                <w:szCs w:val="20"/>
              </w:rPr>
              <w:t>Batch Size</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6FA5B838">
            <w:pPr>
              <w:jc w:val="center"/>
            </w:pPr>
            <w:r>
              <w:rPr>
                <w:rFonts w:ascii="Times New Roman" w:hAnsi="Times New Roman" w:eastAsia="Times New Roman" w:cs="Times New Roman"/>
                <w:sz w:val="20"/>
                <w:szCs w:val="20"/>
              </w:rPr>
              <w:t>8</w:t>
            </w:r>
          </w:p>
        </w:tc>
      </w:tr>
      <w:tr w14:paraId="7113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780A3C2B">
            <w:r>
              <w:rPr>
                <w:rFonts w:ascii="Times New Roman" w:hAnsi="Times New Roman" w:eastAsia="Times New Roman" w:cs="Times New Roman"/>
                <w:sz w:val="20"/>
                <w:szCs w:val="20"/>
              </w:rPr>
              <w:t>Warmup Steps</w:t>
            </w:r>
          </w:p>
        </w:tc>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13F08373">
            <w:pPr>
              <w:jc w:val="center"/>
            </w:pPr>
            <w:r>
              <w:rPr>
                <w:rFonts w:ascii="Times New Roman" w:hAnsi="Times New Roman" w:eastAsia="Times New Roman" w:cs="Times New Roman"/>
                <w:sz w:val="20"/>
                <w:szCs w:val="20"/>
              </w:rPr>
              <w:t>50</w:t>
            </w:r>
          </w:p>
        </w:tc>
      </w:tr>
      <w:tr w14:paraId="6954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16526D80">
            <w:r>
              <w:rPr>
                <w:rFonts w:ascii="Times New Roman" w:hAnsi="Times New Roman" w:eastAsia="Times New Roman" w:cs="Times New Roman"/>
                <w:sz w:val="20"/>
                <w:szCs w:val="20"/>
              </w:rPr>
              <w:t>Grad Clip (max norm)</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148E7070">
            <w:pPr>
              <w:jc w:val="center"/>
            </w:pPr>
            <w:r>
              <w:rPr>
                <w:rFonts w:ascii="Times New Roman" w:hAnsi="Times New Roman" w:eastAsia="Times New Roman" w:cs="Times New Roman"/>
                <w:sz w:val="20"/>
                <w:szCs w:val="20"/>
              </w:rPr>
              <w:t>1.0</w:t>
            </w:r>
          </w:p>
        </w:tc>
      </w:tr>
      <w:tr w14:paraId="65A6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49788A8A">
            <w:r>
              <w:rPr>
                <w:rFonts w:ascii="Times New Roman" w:hAnsi="Times New Roman" w:eastAsia="Times New Roman" w:cs="Times New Roman"/>
                <w:sz w:val="20"/>
                <w:szCs w:val="20"/>
              </w:rPr>
              <w:t>Train Samples</w:t>
            </w:r>
          </w:p>
        </w:tc>
        <w:tc>
          <w:tcPr>
            <w:tcW w:w="30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3F372128">
            <w:pPr>
              <w:jc w:val="center"/>
            </w:pPr>
            <w:r>
              <w:rPr>
                <w:rFonts w:ascii="Times New Roman" w:hAnsi="Times New Roman" w:eastAsia="Times New Roman" w:cs="Times New Roman"/>
                <w:sz w:val="20"/>
                <w:szCs w:val="20"/>
              </w:rPr>
              <w:t>1,000</w:t>
            </w:r>
          </w:p>
        </w:tc>
      </w:tr>
      <w:tr w14:paraId="6DF9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64065359">
            <w:r>
              <w:rPr>
                <w:rFonts w:ascii="Times New Roman" w:hAnsi="Times New Roman" w:eastAsia="Times New Roman" w:cs="Times New Roman"/>
                <w:sz w:val="20"/>
                <w:szCs w:val="20"/>
              </w:rPr>
              <w:t>Val Samples</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288409B5">
            <w:pPr>
              <w:jc w:val="center"/>
            </w:pPr>
            <w:r>
              <w:rPr>
                <w:rFonts w:ascii="Times New Roman" w:hAnsi="Times New Roman" w:eastAsia="Times New Roman" w:cs="Times New Roman"/>
                <w:sz w:val="20"/>
                <w:szCs w:val="20"/>
              </w:rPr>
              <w:t>500</w:t>
            </w:r>
          </w:p>
        </w:tc>
      </w:tr>
    </w:tbl>
    <w:p w14:paraId="102910B9">
      <w:pPr>
        <w:spacing w:after="120"/>
      </w:pPr>
    </w:p>
    <w:p w14:paraId="29988497">
      <w:pPr>
        <w:spacing w:after="160"/>
        <w:jc w:val="both"/>
      </w:pPr>
      <w:r>
        <w:rPr>
          <w:rFonts w:ascii="Times New Roman" w:hAnsi="Times New Roman" w:eastAsia="Times New Roman" w:cs="Times New Roman"/>
          <w:b/>
          <w:bCs/>
          <w:sz w:val="24"/>
          <w:szCs w:val="24"/>
        </w:rPr>
        <w:t xml:space="preserve">Evaluation Metrics: </w:t>
      </w:r>
      <w:r>
        <w:rPr>
          <w:rFonts w:ascii="Times New Roman" w:hAnsi="Times New Roman" w:eastAsia="Times New Roman" w:cs="Times New Roman"/>
          <w:sz w:val="24"/>
          <w:szCs w:val="24"/>
        </w:rPr>
        <w:t>Exact Match (EM) accuracy and token-level F1 score (both on 0–100 scale). Answer normalization (lowercasing, punctuation removal, article removal) is applied before scoring, following the standard SQuAD evaluation protocol.</w:t>
      </w:r>
    </w:p>
    <w:p w14:paraId="0762DB6F">
      <w:r>
        <w:br w:type="page"/>
      </w:r>
    </w:p>
    <w:p w14:paraId="76DA9B29">
      <w:pPr>
        <w:pStyle w:val="2"/>
        <w:spacing w:before="300" w:after="150"/>
      </w:pPr>
      <w:r>
        <w:rPr>
          <w:rFonts w:ascii="Times New Roman" w:hAnsi="Times New Roman" w:eastAsia="Times New Roman" w:cs="Times New Roman"/>
          <w:b/>
          <w:bCs/>
        </w:rPr>
        <w:t>4. Experiments</w:t>
      </w:r>
    </w:p>
    <w:p w14:paraId="39A3DCBA">
      <w:pPr>
        <w:pStyle w:val="3"/>
        <w:spacing w:before="200" w:after="100"/>
      </w:pPr>
      <w:r>
        <w:rPr>
          <w:rFonts w:ascii="Times New Roman" w:hAnsi="Times New Roman" w:eastAsia="Times New Roman" w:cs="Times New Roman"/>
          <w:b/>
          <w:bCs/>
        </w:rPr>
        <w:t>4.1 Tokenizer Vocabulary Comparison</w:t>
      </w:r>
    </w:p>
    <w:p w14:paraId="0D5E0787">
      <w:pPr>
        <w:spacing w:after="160"/>
        <w:jc w:val="both"/>
      </w:pPr>
      <w:r>
        <w:rPr>
          <w:rFonts w:ascii="Times New Roman" w:hAnsi="Times New Roman" w:eastAsia="Times New Roman" w:cs="Times New Roman"/>
          <w:sz w:val="24"/>
          <w:szCs w:val="24"/>
        </w:rPr>
        <w:t>The four tokenizers produce markedly different token sequences. For the sample sentence 'Nikola Tesla was an inventor and electrical engineer.':</w:t>
      </w:r>
    </w:p>
    <w:p w14:paraId="53363CAA">
      <w:pPr>
        <w:pStyle w:val="14"/>
        <w:numPr>
          <w:ilvl w:val="0"/>
          <w:numId w:val="1"/>
        </w:numPr>
        <w:spacing w:after="80"/>
      </w:pPr>
      <w:r>
        <w:rPr>
          <w:rFonts w:ascii="Times New Roman" w:hAnsi="Times New Roman" w:eastAsia="Times New Roman" w:cs="Times New Roman"/>
          <w:sz w:val="24"/>
          <w:szCs w:val="24"/>
        </w:rPr>
        <w:t>WordPiece (9 tokens): ['nikola', 'tesla', 'was', 'an', 'inventor', 'and', 'electrical', 'engineer', '.']</w:t>
      </w:r>
    </w:p>
    <w:p w14:paraId="23857BB7">
      <w:pPr>
        <w:pStyle w:val="14"/>
        <w:numPr>
          <w:ilvl w:val="0"/>
          <w:numId w:val="1"/>
        </w:numPr>
        <w:spacing w:after="80"/>
      </w:pPr>
      <w:r>
        <w:rPr>
          <w:rFonts w:ascii="Times New Roman" w:hAnsi="Times New Roman" w:eastAsia="Times New Roman" w:cs="Times New Roman"/>
          <w:sz w:val="24"/>
          <w:szCs w:val="24"/>
        </w:rPr>
        <w:t>BPE (18 tokens): ['N', 'ik', 'ol', 'a', 'T', 'es', 'la', 'was', 'an', 'in', 'vent', 'or', 'and', 'electrical', 'en', 'gine', 'er', '.']</w:t>
      </w:r>
    </w:p>
    <w:p w14:paraId="0DDBEAA0">
      <w:pPr>
        <w:pStyle w:val="14"/>
        <w:numPr>
          <w:ilvl w:val="0"/>
          <w:numId w:val="1"/>
        </w:numPr>
        <w:spacing w:after="80"/>
      </w:pPr>
      <w:r>
        <w:rPr>
          <w:rFonts w:ascii="Times New Roman" w:hAnsi="Times New Roman" w:eastAsia="Times New Roman" w:cs="Times New Roman"/>
          <w:sz w:val="24"/>
          <w:szCs w:val="24"/>
        </w:rPr>
        <w:t>Character-level (26 tokens): individual Unicode characters — 'N', 'i', 'k', 'o', 'l', 'a', 'T', 'e', 's', ...</w:t>
      </w:r>
    </w:p>
    <w:p w14:paraId="4685D9AA">
      <w:pPr>
        <w:pStyle w:val="14"/>
        <w:numPr>
          <w:ilvl w:val="0"/>
          <w:numId w:val="1"/>
        </w:numPr>
        <w:spacing w:after="80"/>
      </w:pPr>
      <w:r>
        <w:rPr>
          <w:rFonts w:ascii="Times New Roman" w:hAnsi="Times New Roman" w:eastAsia="Times New Roman" w:cs="Times New Roman"/>
          <w:sz w:val="24"/>
          <w:szCs w:val="24"/>
        </w:rPr>
        <w:t>Hybrid (9 tokens): frequent words kept intact; rare names fall back to [UNK] or characters</w:t>
      </w:r>
    </w:p>
    <w:p w14:paraId="4480EC02">
      <w:pPr>
        <w:spacing w:after="80"/>
      </w:pPr>
    </w:p>
    <w:p w14:paraId="3E401F23">
      <w:pPr>
        <w:spacing w:after="160"/>
        <w:jc w:val="both"/>
      </w:pPr>
      <w:r>
        <w:rPr>
          <w:rFonts w:ascii="Times New Roman" w:hAnsi="Times New Roman" w:eastAsia="Times New Roman" w:cs="Times New Roman"/>
          <w:sz w:val="24"/>
          <w:szCs w:val="24"/>
        </w:rPr>
        <w:t>WordPiece produces the most compact, semantically coherent tokenization. BPE doubles the token count for named entities like 'Nikola Tesla', while character-level nearly triples it. Hybrid matches WordPiece length for this sentence due to high word frequency in the training corpus.</w:t>
      </w:r>
    </w:p>
    <w:p w14:paraId="000B4568">
      <w:pPr>
        <w:pStyle w:val="3"/>
        <w:spacing w:before="200" w:after="100"/>
      </w:pPr>
      <w:r>
        <w:rPr>
          <w:rFonts w:ascii="Times New Roman" w:hAnsi="Times New Roman" w:eastAsia="Times New Roman" w:cs="Times New Roman"/>
          <w:b/>
          <w:bCs/>
        </w:rPr>
        <w:t>4.2 Training Dynamics</w:t>
      </w:r>
    </w:p>
    <w:p w14:paraId="48F72D3A">
      <w:pPr>
        <w:spacing w:after="160"/>
        <w:jc w:val="both"/>
      </w:pPr>
      <w:r>
        <w:rPr>
          <w:rFonts w:ascii="Times New Roman" w:hAnsi="Times New Roman" w:eastAsia="Times New Roman" w:cs="Times New Roman"/>
          <w:sz w:val="24"/>
          <w:szCs w:val="24"/>
        </w:rPr>
        <w:t>WordPiece training converged smoothly: loss dropped from 3.59 (epoch 1) to 3.39 (epoch 2) at ~1.75 it/s. BPE exhibited considerably higher initial loss (5.18 → 4.59) due to randomly initialised embeddings — the model must learn token representations from scratch rather than inheriting BERT's pre-trained values.</w:t>
      </w:r>
    </w:p>
    <w:p w14:paraId="508EA8B5">
      <w:pPr>
        <w:spacing w:after="160"/>
        <w:jc w:val="both"/>
      </w:pPr>
      <w:r>
        <w:rPr>
          <w:rFonts w:ascii="Times New Roman" w:hAnsi="Times New Roman" w:eastAsia="Times New Roman" w:cs="Times New Roman"/>
          <w:sz w:val="24"/>
          <w:szCs w:val="24"/>
        </w:rPr>
        <w:t>Character-level showed abnormal loss behaviour (0.409 → 0.521, increasing), indicating the model failed to converge within 2 epochs on compressed 256-token sequences. The sequence length reduction forces frequent context truncation, likely causing the model to predict empty spans uniformly.</w:t>
      </w:r>
    </w:p>
    <w:p w14:paraId="3EC606FE">
      <w:pPr>
        <w:spacing w:after="160"/>
        <w:jc w:val="both"/>
      </w:pPr>
      <w:r>
        <w:rPr>
          <w:rFonts w:ascii="Times New Roman" w:hAnsi="Times New Roman" w:eastAsia="Times New Roman" w:cs="Times New Roman"/>
          <w:sz w:val="24"/>
          <w:szCs w:val="24"/>
        </w:rPr>
        <w:t>Dynamic Token Merging added approximately 123 additional seconds of training time (267s vs 144s for baseline) due to the scorer MLP forward and backward passes. However, its loss followed a normal decreasing pattern (3.59 → 3.40), matching the baseline closely.</w:t>
      </w:r>
    </w:p>
    <w:p w14:paraId="2B461E1F">
      <w:pPr>
        <w:pStyle w:val="3"/>
        <w:spacing w:before="200" w:after="100"/>
      </w:pPr>
      <w:r>
        <w:rPr>
          <w:rFonts w:ascii="Times New Roman" w:hAnsi="Times New Roman" w:eastAsia="Times New Roman" w:cs="Times New Roman"/>
          <w:b/>
          <w:bCs/>
        </w:rPr>
        <w:t>4.3 Sequence Length Impact</w:t>
      </w:r>
    </w:p>
    <w:p w14:paraId="2EE88ACA">
      <w:pPr>
        <w:spacing w:after="160"/>
        <w:jc w:val="both"/>
      </w:pPr>
      <w:r>
        <w:rPr>
          <w:rFonts w:ascii="Times New Roman" w:hAnsi="Times New Roman" w:eastAsia="Times New Roman" w:cs="Times New Roman"/>
          <w:sz w:val="24"/>
          <w:szCs w:val="24"/>
        </w:rPr>
        <w:t>A key confounding factor is that different tokenizers produce sequences of very different lengths. The character-level tokenizer produces sequences approximately 5x longer than WordPiece. At max_length=256, many QA contexts are truncated, potentially cutting off the answer span entirely. This is a primary cause of character-level tokenization's complete failure (0% EM, 0% F1) rather than purely a semantic learning issue.</w:t>
      </w:r>
    </w:p>
    <w:p w14:paraId="4E39E687">
      <w:r>
        <w:br w:type="page"/>
      </w:r>
    </w:p>
    <w:p w14:paraId="1D5CFFDF">
      <w:pPr>
        <w:pStyle w:val="2"/>
        <w:spacing w:before="300" w:after="150"/>
      </w:pPr>
      <w:r>
        <w:rPr>
          <w:rFonts w:ascii="Times New Roman" w:hAnsi="Times New Roman" w:eastAsia="Times New Roman" w:cs="Times New Roman"/>
          <w:b/>
          <w:bCs/>
        </w:rPr>
        <w:t>5. Results</w:t>
      </w:r>
    </w:p>
    <w:p w14:paraId="754C6B39">
      <w:pPr>
        <w:pStyle w:val="3"/>
        <w:spacing w:before="200" w:after="100"/>
      </w:pPr>
      <w:r>
        <w:rPr>
          <w:rFonts w:ascii="Times New Roman" w:hAnsi="Times New Roman" w:eastAsia="Times New Roman" w:cs="Times New Roman"/>
          <w:b/>
          <w:bCs/>
        </w:rPr>
        <w:t>5.1 Results Table</w:t>
      </w:r>
    </w:p>
    <w:p w14:paraId="4533D6B5">
      <w:pPr>
        <w:spacing w:after="80"/>
      </w:pP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1400"/>
        <w:gridCol w:w="1400"/>
      </w:tblGrid>
      <w:tr w14:paraId="2433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4C900F1F">
            <w:pPr>
              <w:jc w:val="left"/>
            </w:pPr>
            <w:r>
              <w:rPr>
                <w:rFonts w:ascii="Times New Roman" w:hAnsi="Times New Roman" w:eastAsia="Times New Roman" w:cs="Times New Roman"/>
                <w:b/>
                <w:bCs/>
                <w:color w:val="FFFFFF"/>
                <w:sz w:val="20"/>
                <w:szCs w:val="20"/>
              </w:rPr>
              <w:t>Model</w:t>
            </w:r>
          </w:p>
        </w:tc>
        <w:tc>
          <w:tcPr>
            <w:tcW w:w="16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36FCBA22">
            <w:pPr>
              <w:jc w:val="center"/>
            </w:pPr>
            <w:r>
              <w:rPr>
                <w:rFonts w:ascii="Times New Roman" w:hAnsi="Times New Roman" w:eastAsia="Times New Roman" w:cs="Times New Roman"/>
                <w:b/>
                <w:bCs/>
                <w:color w:val="FFFFFF"/>
                <w:sz w:val="20"/>
                <w:szCs w:val="20"/>
              </w:rPr>
              <w:t>Accuracy (%)</w:t>
            </w:r>
          </w:p>
        </w:tc>
        <w:tc>
          <w:tcPr>
            <w:tcW w:w="16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24AE0B05">
            <w:pPr>
              <w:jc w:val="center"/>
            </w:pPr>
            <w:r>
              <w:rPr>
                <w:rFonts w:ascii="Times New Roman" w:hAnsi="Times New Roman" w:eastAsia="Times New Roman" w:cs="Times New Roman"/>
                <w:b/>
                <w:bCs/>
                <w:color w:val="FFFFFF"/>
                <w:sz w:val="20"/>
                <w:szCs w:val="20"/>
              </w:rPr>
              <w:t>F1 Score (%)</w:t>
            </w:r>
          </w:p>
        </w:tc>
        <w:tc>
          <w:tcPr>
            <w:tcW w:w="14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379E096D">
            <w:pPr>
              <w:jc w:val="center"/>
            </w:pPr>
            <w:r>
              <w:rPr>
                <w:rFonts w:ascii="Times New Roman" w:hAnsi="Times New Roman" w:eastAsia="Times New Roman" w:cs="Times New Roman"/>
                <w:b/>
                <w:bCs/>
                <w:color w:val="FFFFFF"/>
                <w:sz w:val="20"/>
                <w:szCs w:val="20"/>
              </w:rPr>
              <w:t>Time (s)</w:t>
            </w:r>
          </w:p>
        </w:tc>
        <w:tc>
          <w:tcPr>
            <w:tcW w:w="14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0736851E">
            <w:pPr>
              <w:jc w:val="center"/>
            </w:pPr>
            <w:r>
              <w:rPr>
                <w:rFonts w:ascii="Times New Roman" w:hAnsi="Times New Roman" w:eastAsia="Times New Roman" w:cs="Times New Roman"/>
                <w:b/>
                <w:bCs/>
                <w:color w:val="FFFFFF"/>
                <w:sz w:val="20"/>
                <w:szCs w:val="20"/>
              </w:rPr>
              <w:t>Params</w:t>
            </w:r>
          </w:p>
        </w:tc>
      </w:tr>
      <w:tr w14:paraId="28A2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675A83A8">
            <w:pPr>
              <w:jc w:val="left"/>
            </w:pPr>
            <w:r>
              <w:rPr>
                <w:rFonts w:ascii="Times New Roman" w:hAnsi="Times New Roman" w:eastAsia="Times New Roman" w:cs="Times New Roman"/>
                <w:b w:val="0"/>
                <w:bCs w:val="0"/>
                <w:color w:val="000000"/>
                <w:sz w:val="20"/>
                <w:szCs w:val="20"/>
              </w:rPr>
              <w:t>BERT + WordPiece (Baseline)</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0D429A6E">
            <w:pPr>
              <w:jc w:val="center"/>
            </w:pPr>
            <w:r>
              <w:rPr>
                <w:rFonts w:ascii="Times New Roman" w:hAnsi="Times New Roman" w:eastAsia="Times New Roman" w:cs="Times New Roman"/>
                <w:b w:val="0"/>
                <w:bCs w:val="0"/>
                <w:color w:val="000000"/>
                <w:sz w:val="20"/>
                <w:szCs w:val="20"/>
              </w:rPr>
              <w:t>5.96</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73A6EC49">
            <w:pPr>
              <w:jc w:val="center"/>
            </w:pPr>
            <w:r>
              <w:rPr>
                <w:rFonts w:ascii="Times New Roman" w:hAnsi="Times New Roman" w:eastAsia="Times New Roman" w:cs="Times New Roman"/>
                <w:b w:val="0"/>
                <w:bCs w:val="0"/>
                <w:color w:val="000000"/>
                <w:sz w:val="20"/>
                <w:szCs w:val="20"/>
              </w:rPr>
              <w:t>8.02</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7A7EE4D3">
            <w:pPr>
              <w:jc w:val="center"/>
            </w:pPr>
            <w:r>
              <w:rPr>
                <w:rFonts w:ascii="Times New Roman" w:hAnsi="Times New Roman" w:eastAsia="Times New Roman" w:cs="Times New Roman"/>
                <w:b w:val="0"/>
                <w:bCs w:val="0"/>
                <w:color w:val="000000"/>
                <w:sz w:val="20"/>
                <w:szCs w:val="20"/>
              </w:rPr>
              <w:t>144.3</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448E7F7F">
            <w:pPr>
              <w:jc w:val="center"/>
            </w:pPr>
            <w:r>
              <w:rPr>
                <w:rFonts w:ascii="Times New Roman" w:hAnsi="Times New Roman" w:eastAsia="Times New Roman" w:cs="Times New Roman"/>
                <w:b w:val="0"/>
                <w:bCs w:val="0"/>
                <w:color w:val="000000"/>
                <w:sz w:val="20"/>
                <w:szCs w:val="20"/>
              </w:rPr>
              <w:t>108.9M</w:t>
            </w:r>
          </w:p>
        </w:tc>
      </w:tr>
      <w:tr w14:paraId="0A8F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5C9A9BE1">
            <w:pPr>
              <w:jc w:val="left"/>
            </w:pPr>
            <w:r>
              <w:rPr>
                <w:rFonts w:ascii="Times New Roman" w:hAnsi="Times New Roman" w:eastAsia="Times New Roman" w:cs="Times New Roman"/>
                <w:b w:val="0"/>
                <w:bCs w:val="0"/>
                <w:color w:val="000000"/>
                <w:sz w:val="20"/>
                <w:szCs w:val="20"/>
              </w:rPr>
              <w:t>BERT + BPE</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6A71398F">
            <w:pPr>
              <w:jc w:val="center"/>
            </w:pPr>
            <w:r>
              <w:rPr>
                <w:rFonts w:ascii="Times New Roman" w:hAnsi="Times New Roman" w:eastAsia="Times New Roman" w:cs="Times New Roman"/>
                <w:b w:val="0"/>
                <w:bCs w:val="0"/>
                <w:color w:val="000000"/>
                <w:sz w:val="20"/>
                <w:szCs w:val="20"/>
              </w:rPr>
              <w:t>0.00</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1BA41005">
            <w:pPr>
              <w:jc w:val="center"/>
            </w:pPr>
            <w:r>
              <w:rPr>
                <w:rFonts w:ascii="Times New Roman" w:hAnsi="Times New Roman" w:eastAsia="Times New Roman" w:cs="Times New Roman"/>
                <w:b w:val="0"/>
                <w:bCs w:val="0"/>
                <w:color w:val="000000"/>
                <w:sz w:val="20"/>
                <w:szCs w:val="20"/>
              </w:rPr>
              <w:t>1.27</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44C396CC">
            <w:pPr>
              <w:jc w:val="center"/>
            </w:pPr>
            <w:r>
              <w:rPr>
                <w:rFonts w:ascii="Times New Roman" w:hAnsi="Times New Roman" w:eastAsia="Times New Roman" w:cs="Times New Roman"/>
                <w:b w:val="0"/>
                <w:bCs w:val="0"/>
                <w:color w:val="000000"/>
                <w:sz w:val="20"/>
                <w:szCs w:val="20"/>
              </w:rPr>
              <w:t>149.3</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16ECFE0D">
            <w:pPr>
              <w:jc w:val="center"/>
            </w:pPr>
            <w:r>
              <w:rPr>
                <w:rFonts w:ascii="Times New Roman" w:hAnsi="Times New Roman" w:eastAsia="Times New Roman" w:cs="Times New Roman"/>
                <w:b w:val="0"/>
                <w:bCs w:val="0"/>
                <w:color w:val="000000"/>
                <w:sz w:val="20"/>
                <w:szCs w:val="20"/>
              </w:rPr>
              <w:t>91.2M</w:t>
            </w:r>
          </w:p>
        </w:tc>
      </w:tr>
      <w:tr w14:paraId="21DD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3EE7C6D4">
            <w:pPr>
              <w:jc w:val="left"/>
            </w:pPr>
            <w:r>
              <w:rPr>
                <w:rFonts w:ascii="Times New Roman" w:hAnsi="Times New Roman" w:eastAsia="Times New Roman" w:cs="Times New Roman"/>
                <w:b w:val="0"/>
                <w:bCs w:val="0"/>
                <w:color w:val="000000"/>
                <w:sz w:val="20"/>
                <w:szCs w:val="20"/>
              </w:rPr>
              <w:t>BERT + Character-Level</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35574BA6">
            <w:pPr>
              <w:jc w:val="center"/>
            </w:pPr>
            <w:r>
              <w:rPr>
                <w:rFonts w:ascii="Times New Roman" w:hAnsi="Times New Roman" w:eastAsia="Times New Roman" w:cs="Times New Roman"/>
                <w:b w:val="0"/>
                <w:bCs w:val="0"/>
                <w:color w:val="000000"/>
                <w:sz w:val="20"/>
                <w:szCs w:val="20"/>
              </w:rPr>
              <w:t>0.00</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4684C5AF">
            <w:pPr>
              <w:jc w:val="center"/>
            </w:pPr>
            <w:r>
              <w:rPr>
                <w:rFonts w:ascii="Times New Roman" w:hAnsi="Times New Roman" w:eastAsia="Times New Roman" w:cs="Times New Roman"/>
                <w:b w:val="0"/>
                <w:bCs w:val="0"/>
                <w:color w:val="000000"/>
                <w:sz w:val="20"/>
                <w:szCs w:val="20"/>
              </w:rPr>
              <w:t>0.00</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61ADC156">
            <w:pPr>
              <w:jc w:val="center"/>
            </w:pPr>
            <w:r>
              <w:rPr>
                <w:rFonts w:ascii="Times New Roman" w:hAnsi="Times New Roman" w:eastAsia="Times New Roman" w:cs="Times New Roman"/>
                <w:b w:val="0"/>
                <w:bCs w:val="0"/>
                <w:color w:val="000000"/>
                <w:sz w:val="20"/>
                <w:szCs w:val="20"/>
              </w:rPr>
              <w:t>207.0</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23BCE78D">
            <w:pPr>
              <w:jc w:val="center"/>
            </w:pPr>
            <w:r>
              <w:rPr>
                <w:rFonts w:ascii="Times New Roman" w:hAnsi="Times New Roman" w:eastAsia="Times New Roman" w:cs="Times New Roman"/>
                <w:b w:val="0"/>
                <w:bCs w:val="0"/>
                <w:color w:val="000000"/>
                <w:sz w:val="20"/>
                <w:szCs w:val="20"/>
              </w:rPr>
              <w:t>85.8M</w:t>
            </w:r>
          </w:p>
        </w:tc>
      </w:tr>
      <w:tr w14:paraId="11A62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3CBC1DE9">
            <w:pPr>
              <w:jc w:val="left"/>
            </w:pPr>
            <w:r>
              <w:rPr>
                <w:rFonts w:ascii="Times New Roman" w:hAnsi="Times New Roman" w:eastAsia="Times New Roman" w:cs="Times New Roman"/>
                <w:b w:val="0"/>
                <w:bCs w:val="0"/>
                <w:color w:val="000000"/>
                <w:sz w:val="20"/>
                <w:szCs w:val="20"/>
              </w:rPr>
              <w:t>BERT + Hybrid (Word+Char)</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49042D93">
            <w:pPr>
              <w:jc w:val="center"/>
            </w:pPr>
            <w:r>
              <w:rPr>
                <w:rFonts w:ascii="Times New Roman" w:hAnsi="Times New Roman" w:eastAsia="Times New Roman" w:cs="Times New Roman"/>
                <w:b w:val="0"/>
                <w:bCs w:val="0"/>
                <w:color w:val="000000"/>
                <w:sz w:val="20"/>
                <w:szCs w:val="20"/>
              </w:rPr>
              <w:t>0.19</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21872719">
            <w:pPr>
              <w:jc w:val="center"/>
            </w:pPr>
            <w:r>
              <w:rPr>
                <w:rFonts w:ascii="Times New Roman" w:hAnsi="Times New Roman" w:eastAsia="Times New Roman" w:cs="Times New Roman"/>
                <w:b w:val="0"/>
                <w:bCs w:val="0"/>
                <w:color w:val="000000"/>
                <w:sz w:val="20"/>
                <w:szCs w:val="20"/>
              </w:rPr>
              <w:t>1.05</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703F544F">
            <w:pPr>
              <w:jc w:val="center"/>
            </w:pPr>
            <w:r>
              <w:rPr>
                <w:rFonts w:ascii="Times New Roman" w:hAnsi="Times New Roman" w:eastAsia="Times New Roman" w:cs="Times New Roman"/>
                <w:b w:val="0"/>
                <w:bCs w:val="0"/>
                <w:color w:val="000000"/>
                <w:sz w:val="20"/>
                <w:szCs w:val="20"/>
              </w:rPr>
              <w:t>120.5</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52004067">
            <w:pPr>
              <w:jc w:val="center"/>
            </w:pPr>
            <w:r>
              <w:rPr>
                <w:rFonts w:ascii="Times New Roman" w:hAnsi="Times New Roman" w:eastAsia="Times New Roman" w:cs="Times New Roman"/>
                <w:b w:val="0"/>
                <w:bCs w:val="0"/>
                <w:color w:val="000000"/>
                <w:sz w:val="20"/>
                <w:szCs w:val="20"/>
              </w:rPr>
              <w:t>89.1M</w:t>
            </w:r>
          </w:p>
        </w:tc>
      </w:tr>
      <w:tr w14:paraId="3462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1C696D45">
            <w:pPr>
              <w:jc w:val="left"/>
            </w:pPr>
            <w:r>
              <w:rPr>
                <w:rFonts w:ascii="Times New Roman" w:hAnsi="Times New Roman" w:eastAsia="Times New Roman" w:cs="Times New Roman"/>
                <w:b w:val="0"/>
                <w:bCs w:val="0"/>
                <w:color w:val="000000"/>
                <w:sz w:val="20"/>
                <w:szCs w:val="20"/>
              </w:rPr>
              <w:t>BERT + Dynamic Merging</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5B30CA85">
            <w:pPr>
              <w:jc w:val="center"/>
            </w:pPr>
            <w:r>
              <w:rPr>
                <w:rFonts w:ascii="Times New Roman" w:hAnsi="Times New Roman" w:eastAsia="Times New Roman" w:cs="Times New Roman"/>
                <w:b w:val="0"/>
                <w:bCs w:val="0"/>
                <w:color w:val="000000"/>
                <w:sz w:val="20"/>
                <w:szCs w:val="20"/>
              </w:rPr>
              <w:t>4.23</w:t>
            </w:r>
          </w:p>
        </w:tc>
        <w:tc>
          <w:tcPr>
            <w:tcW w:w="1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2865593F">
            <w:pPr>
              <w:jc w:val="center"/>
            </w:pPr>
            <w:r>
              <w:rPr>
                <w:rFonts w:ascii="Times New Roman" w:hAnsi="Times New Roman" w:eastAsia="Times New Roman" w:cs="Times New Roman"/>
                <w:b w:val="0"/>
                <w:bCs w:val="0"/>
                <w:color w:val="000000"/>
                <w:sz w:val="20"/>
                <w:szCs w:val="20"/>
              </w:rPr>
              <w:t>6.81</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268CE0E4">
            <w:pPr>
              <w:jc w:val="center"/>
            </w:pPr>
            <w:r>
              <w:rPr>
                <w:rFonts w:ascii="Times New Roman" w:hAnsi="Times New Roman" w:eastAsia="Times New Roman" w:cs="Times New Roman"/>
                <w:b w:val="0"/>
                <w:bCs w:val="0"/>
                <w:color w:val="000000"/>
                <w:sz w:val="20"/>
                <w:szCs w:val="20"/>
              </w:rPr>
              <w:t>267.0</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163B0C01">
            <w:pPr>
              <w:jc w:val="center"/>
            </w:pPr>
            <w:r>
              <w:rPr>
                <w:rFonts w:ascii="Times New Roman" w:hAnsi="Times New Roman" w:eastAsia="Times New Roman" w:cs="Times New Roman"/>
                <w:b w:val="0"/>
                <w:bCs w:val="0"/>
                <w:color w:val="000000"/>
                <w:sz w:val="20"/>
                <w:szCs w:val="20"/>
              </w:rPr>
              <w:t>109.0M</w:t>
            </w:r>
          </w:p>
        </w:tc>
      </w:tr>
    </w:tbl>
    <w:p w14:paraId="3A4D4562">
      <w:pPr>
        <w:spacing w:after="80"/>
      </w:pPr>
    </w:p>
    <w:p w14:paraId="4F6D70C9">
      <w:pPr>
        <w:spacing w:after="160"/>
        <w:jc w:val="both"/>
      </w:pPr>
      <w:r>
        <w:rPr>
          <w:rFonts w:ascii="Times New Roman" w:hAnsi="Times New Roman" w:eastAsia="Times New Roman" w:cs="Times New Roman"/>
          <w:sz w:val="24"/>
          <w:szCs w:val="24"/>
        </w:rPr>
        <w:t>* Accuracy = Exact Match (normalized string equality)  |  * DTM = Dynamic Token Merging  |  * All times in seconds</w:t>
      </w:r>
    </w:p>
    <w:p w14:paraId="4C39A306">
      <w:pPr>
        <w:spacing w:after="120"/>
      </w:pPr>
    </w:p>
    <w:p w14:paraId="1A63A233">
      <w:pPr>
        <w:pStyle w:val="3"/>
        <w:spacing w:before="200" w:after="100"/>
      </w:pPr>
      <w:r>
        <w:rPr>
          <w:rFonts w:ascii="Times New Roman" w:hAnsi="Times New Roman" w:eastAsia="Times New Roman" w:cs="Times New Roman"/>
          <w:b/>
          <w:bCs/>
        </w:rPr>
        <w:t>5.2 Token Count on Sample Sentence</w:t>
      </w:r>
    </w:p>
    <w:p w14:paraId="14450FE2">
      <w:pPr>
        <w:spacing w:after="6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00"/>
        <w:gridCol w:w="1800"/>
      </w:tblGrid>
      <w:tr w14:paraId="688E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3EDE96F8">
            <w:r>
              <w:rPr>
                <w:rFonts w:ascii="Times New Roman" w:hAnsi="Times New Roman" w:eastAsia="Times New Roman" w:cs="Times New Roman"/>
                <w:b/>
                <w:bCs/>
                <w:color w:val="FFFFFF"/>
                <w:sz w:val="20"/>
                <w:szCs w:val="20"/>
              </w:rPr>
              <w:t>Tokenizer</w:t>
            </w:r>
          </w:p>
        </w:tc>
        <w:tc>
          <w:tcPr>
            <w:tcW w:w="18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12F4968B">
            <w:pPr>
              <w:jc w:val="center"/>
            </w:pPr>
            <w:r>
              <w:rPr>
                <w:rFonts w:ascii="Times New Roman" w:hAnsi="Times New Roman" w:eastAsia="Times New Roman" w:cs="Times New Roman"/>
                <w:b/>
                <w:bCs/>
                <w:color w:val="FFFFFF"/>
                <w:sz w:val="20"/>
                <w:szCs w:val="20"/>
              </w:rPr>
              <w:t>Vocab Size</w:t>
            </w:r>
          </w:p>
        </w:tc>
        <w:tc>
          <w:tcPr>
            <w:tcW w:w="1800" w:type="dxa"/>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tcPr>
          <w:p w14:paraId="24959729">
            <w:pPr>
              <w:jc w:val="center"/>
            </w:pPr>
            <w:r>
              <w:rPr>
                <w:rFonts w:ascii="Times New Roman" w:hAnsi="Times New Roman" w:eastAsia="Times New Roman" w:cs="Times New Roman"/>
                <w:b/>
                <w:bCs/>
                <w:color w:val="FFFFFF"/>
                <w:sz w:val="20"/>
                <w:szCs w:val="20"/>
              </w:rPr>
              <w:t>Tokens (sample)</w:t>
            </w:r>
          </w:p>
        </w:tc>
      </w:tr>
      <w:tr w14:paraId="3084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03DA24A7">
            <w:r>
              <w:rPr>
                <w:rFonts w:ascii="Times New Roman" w:hAnsi="Times New Roman" w:eastAsia="Times New Roman" w:cs="Times New Roman"/>
                <w:sz w:val="20"/>
                <w:szCs w:val="20"/>
              </w:rPr>
              <w:t>BERT + WordPiece</w:t>
            </w:r>
          </w:p>
        </w:tc>
        <w:tc>
          <w:tcPr>
            <w:tcW w:w="18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3D6F6156">
            <w:pPr>
              <w:jc w:val="center"/>
            </w:pPr>
            <w:r>
              <w:rPr>
                <w:rFonts w:ascii="Times New Roman" w:hAnsi="Times New Roman" w:eastAsia="Times New Roman" w:cs="Times New Roman"/>
                <w:sz w:val="20"/>
                <w:szCs w:val="20"/>
              </w:rPr>
              <w:t>30,522</w:t>
            </w:r>
          </w:p>
        </w:tc>
        <w:tc>
          <w:tcPr>
            <w:tcW w:w="18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2A82FBF1">
            <w:pPr>
              <w:jc w:val="center"/>
            </w:pPr>
            <w:r>
              <w:rPr>
                <w:rFonts w:ascii="Times New Roman" w:hAnsi="Times New Roman" w:eastAsia="Times New Roman" w:cs="Times New Roman"/>
                <w:sz w:val="20"/>
                <w:szCs w:val="20"/>
              </w:rPr>
              <w:t>9</w:t>
            </w:r>
          </w:p>
        </w:tc>
      </w:tr>
      <w:tr w14:paraId="4954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3FBE04DC">
            <w:r>
              <w:rPr>
                <w:rFonts w:ascii="Times New Roman" w:hAnsi="Times New Roman" w:eastAsia="Times New Roman" w:cs="Times New Roman"/>
                <w:sz w:val="20"/>
                <w:szCs w:val="20"/>
              </w:rPr>
              <w:t>BERT + BPE</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6892C43D">
            <w:pPr>
              <w:jc w:val="center"/>
            </w:pPr>
            <w:r>
              <w:rPr>
                <w:rFonts w:ascii="Times New Roman" w:hAnsi="Times New Roman" w:eastAsia="Times New Roman" w:cs="Times New Roman"/>
                <w:sz w:val="20"/>
                <w:szCs w:val="20"/>
              </w:rPr>
              <w:t>7,465</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7B91E921">
            <w:pPr>
              <w:jc w:val="center"/>
            </w:pPr>
            <w:r>
              <w:rPr>
                <w:rFonts w:ascii="Times New Roman" w:hAnsi="Times New Roman" w:eastAsia="Times New Roman" w:cs="Times New Roman"/>
                <w:sz w:val="20"/>
                <w:szCs w:val="20"/>
              </w:rPr>
              <w:t>18</w:t>
            </w:r>
          </w:p>
        </w:tc>
      </w:tr>
      <w:tr w14:paraId="1D9C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69E22CD3">
            <w:r>
              <w:rPr>
                <w:rFonts w:ascii="Times New Roman" w:hAnsi="Times New Roman" w:eastAsia="Times New Roman" w:cs="Times New Roman"/>
                <w:sz w:val="20"/>
                <w:szCs w:val="20"/>
              </w:rPr>
              <w:t>BERT + Character-Level</w:t>
            </w:r>
          </w:p>
        </w:tc>
        <w:tc>
          <w:tcPr>
            <w:tcW w:w="18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6BA231D0">
            <w:pPr>
              <w:jc w:val="center"/>
            </w:pPr>
            <w:r>
              <w:rPr>
                <w:rFonts w:ascii="Times New Roman" w:hAnsi="Times New Roman" w:eastAsia="Times New Roman" w:cs="Times New Roman"/>
                <w:sz w:val="20"/>
                <w:szCs w:val="20"/>
              </w:rPr>
              <w:t>500</w:t>
            </w:r>
          </w:p>
        </w:tc>
        <w:tc>
          <w:tcPr>
            <w:tcW w:w="18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1D5235BD">
            <w:pPr>
              <w:jc w:val="center"/>
            </w:pPr>
            <w:r>
              <w:rPr>
                <w:rFonts w:ascii="Times New Roman" w:hAnsi="Times New Roman" w:eastAsia="Times New Roman" w:cs="Times New Roman"/>
                <w:sz w:val="20"/>
                <w:szCs w:val="20"/>
              </w:rPr>
              <w:t>26</w:t>
            </w:r>
          </w:p>
        </w:tc>
      </w:tr>
      <w:tr w14:paraId="0FDE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4025122D">
            <w:r>
              <w:rPr>
                <w:rFonts w:ascii="Times New Roman" w:hAnsi="Times New Roman" w:eastAsia="Times New Roman" w:cs="Times New Roman"/>
                <w:sz w:val="20"/>
                <w:szCs w:val="20"/>
              </w:rPr>
              <w:t>BERT + Hybrid</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2946768B">
            <w:pPr>
              <w:jc w:val="center"/>
            </w:pPr>
            <w:r>
              <w:rPr>
                <w:rFonts w:ascii="Times New Roman" w:hAnsi="Times New Roman" w:eastAsia="Times New Roman" w:cs="Times New Roman"/>
                <w:sz w:val="20"/>
                <w:szCs w:val="20"/>
              </w:rPr>
              <w:t>4,780</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tcPr>
          <w:p w14:paraId="3AD13EC1">
            <w:pPr>
              <w:jc w:val="center"/>
            </w:pPr>
            <w:r>
              <w:rPr>
                <w:rFonts w:ascii="Times New Roman" w:hAnsi="Times New Roman" w:eastAsia="Times New Roman" w:cs="Times New Roman"/>
                <w:sz w:val="20"/>
                <w:szCs w:val="20"/>
              </w:rPr>
              <w:t>9</w:t>
            </w:r>
          </w:p>
        </w:tc>
      </w:tr>
      <w:tr w14:paraId="4018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6F4D837D">
            <w:r>
              <w:rPr>
                <w:rFonts w:ascii="Times New Roman" w:hAnsi="Times New Roman" w:eastAsia="Times New Roman" w:cs="Times New Roman"/>
                <w:sz w:val="20"/>
                <w:szCs w:val="20"/>
              </w:rPr>
              <w:t>BERT + Dynamic Merging</w:t>
            </w:r>
          </w:p>
        </w:tc>
        <w:tc>
          <w:tcPr>
            <w:tcW w:w="18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4CC2CD90">
            <w:pPr>
              <w:jc w:val="center"/>
            </w:pPr>
            <w:r>
              <w:rPr>
                <w:rFonts w:ascii="Times New Roman" w:hAnsi="Times New Roman" w:eastAsia="Times New Roman" w:cs="Times New Roman"/>
                <w:sz w:val="20"/>
                <w:szCs w:val="20"/>
              </w:rPr>
              <w:t>30,522</w:t>
            </w:r>
          </w:p>
        </w:tc>
        <w:tc>
          <w:tcPr>
            <w:tcW w:w="1800" w:type="dxa"/>
            <w:tcBorders>
              <w:top w:val="single" w:color="999999" w:sz="0" w:space="0"/>
              <w:left w:val="single" w:color="999999" w:sz="0" w:space="0"/>
              <w:bottom w:val="single" w:color="999999" w:sz="0" w:space="0"/>
              <w:right w:val="single" w:color="999999" w:sz="0" w:space="0"/>
            </w:tcBorders>
            <w:shd w:val="clear" w:color="auto" w:fill="F5F5F5"/>
            <w:tcMar>
              <w:top w:w="80" w:type="dxa"/>
              <w:left w:w="120" w:type="dxa"/>
              <w:bottom w:w="80" w:type="dxa"/>
              <w:right w:w="120" w:type="dxa"/>
            </w:tcMar>
          </w:tcPr>
          <w:p w14:paraId="20F7588B">
            <w:pPr>
              <w:jc w:val="center"/>
            </w:pPr>
            <w:r>
              <w:rPr>
                <w:rFonts w:ascii="Times New Roman" w:hAnsi="Times New Roman" w:eastAsia="Times New Roman" w:cs="Times New Roman"/>
                <w:sz w:val="20"/>
                <w:szCs w:val="20"/>
              </w:rPr>
              <w:t>9 (pre-merge)</w:t>
            </w:r>
          </w:p>
        </w:tc>
      </w:tr>
    </w:tbl>
    <w:p w14:paraId="2802565E">
      <w:pPr>
        <w:spacing w:after="120"/>
      </w:pPr>
    </w:p>
    <w:p w14:paraId="44C88689">
      <w:r>
        <w:br w:type="page"/>
      </w:r>
    </w:p>
    <w:p w14:paraId="3E0C9047">
      <w:pPr>
        <w:pStyle w:val="2"/>
        <w:spacing w:before="300" w:after="150"/>
      </w:pPr>
      <w:r>
        <w:rPr>
          <w:rFonts w:ascii="Times New Roman" w:hAnsi="Times New Roman" w:eastAsia="Times New Roman" w:cs="Times New Roman"/>
          <w:b/>
          <w:bCs/>
        </w:rPr>
        <w:t>6. Analysis</w:t>
      </w:r>
    </w:p>
    <w:p w14:paraId="02452FB1">
      <w:pPr>
        <w:pStyle w:val="3"/>
        <w:spacing w:before="200" w:after="100"/>
      </w:pPr>
      <w:r>
        <w:rPr>
          <w:rFonts w:ascii="Times New Roman" w:hAnsi="Times New Roman" w:eastAsia="Times New Roman" w:cs="Times New Roman"/>
          <w:b/>
          <w:bCs/>
        </w:rPr>
        <w:t>6.1 WordPiece Dominates Under Limited Training</w:t>
      </w:r>
    </w:p>
    <w:p w14:paraId="5F4BD5B1">
      <w:pPr>
        <w:spacing w:after="160"/>
        <w:jc w:val="both"/>
      </w:pPr>
      <w:r>
        <w:rPr>
          <w:rFonts w:ascii="Times New Roman" w:hAnsi="Times New Roman" w:eastAsia="Times New Roman" w:cs="Times New Roman"/>
          <w:sz w:val="24"/>
          <w:szCs w:val="24"/>
        </w:rPr>
        <w:t>The critical insight from these results is that BERT's performance is inseparable from its tokenizer when fine-tuning on small datasets with only 2 epochs. Every WordPiece token ID maps to a pre-trained embedding row encoding billions of tokens of contextual knowledge. Any alternative tokenizer requires resizing the embedding matrix, initialising new rows from scratch, and learning token representations entirely during fine-tuning — a task that is simply infeasible in 2 epochs on 1,000 examples.</w:t>
      </w:r>
    </w:p>
    <w:p w14:paraId="181A32ED">
      <w:pPr>
        <w:pStyle w:val="3"/>
        <w:spacing w:before="200" w:after="100"/>
      </w:pPr>
      <w:r>
        <w:rPr>
          <w:rFonts w:ascii="Times New Roman" w:hAnsi="Times New Roman" w:eastAsia="Times New Roman" w:cs="Times New Roman"/>
          <w:b/>
          <w:bCs/>
        </w:rPr>
        <w:t>6.2 BPE: Right Idea, Wrong Starting Point</w:t>
      </w:r>
    </w:p>
    <w:p w14:paraId="6D6B1582">
      <w:pPr>
        <w:spacing w:after="160"/>
        <w:jc w:val="both"/>
      </w:pPr>
      <w:r>
        <w:rPr>
          <w:rFonts w:ascii="Times New Roman" w:hAnsi="Times New Roman" w:eastAsia="Times New Roman" w:cs="Times New Roman"/>
          <w:sz w:val="24"/>
          <w:szCs w:val="24"/>
        </w:rPr>
        <w:t>BPE's 0.00% EM and 1.27% F1 reflect the cold-start embedding problem, not a failure of the BPE algorithm itself. RoBERTa, which uses BPE but is pre-trained for far more steps on far more data, consistently outperforms BERT on QA benchmarks. With full pre-training or significantly more fine-tuning data, BPE's corpus-adapted vocabulary would be a genuine advantage. Under these experimental constraints, the cold-start penalty dominates.</w:t>
      </w:r>
    </w:p>
    <w:p w14:paraId="60867CBC">
      <w:pPr>
        <w:pStyle w:val="3"/>
        <w:spacing w:before="200" w:after="100"/>
      </w:pPr>
      <w:r>
        <w:rPr>
          <w:rFonts w:ascii="Times New Roman" w:hAnsi="Times New Roman" w:eastAsia="Times New Roman" w:cs="Times New Roman"/>
          <w:b/>
          <w:bCs/>
        </w:rPr>
        <w:t>6.3 Character-Level: Sequence Length as the Primary Failure Mode</w:t>
      </w:r>
    </w:p>
    <w:p w14:paraId="2D8B3F2D">
      <w:pPr>
        <w:spacing w:after="160"/>
        <w:jc w:val="both"/>
      </w:pPr>
      <w:r>
        <w:rPr>
          <w:rFonts w:ascii="Times New Roman" w:hAnsi="Times New Roman" w:eastAsia="Times New Roman" w:cs="Times New Roman"/>
          <w:sz w:val="24"/>
          <w:szCs w:val="24"/>
        </w:rPr>
        <w:t>Character-level tokenization's complete failure (0% EM, 0% F1) results from two compounding issues. First, 5x sequence length forces context truncation at max_length=256, potentially discarding answer spans entirely. Second, individual characters lack intrinsic semantic meaning, requiring the model to learn word-level concepts from character sequences — a task that requires far more training signal than 2 epochs on 1,000 examples can provide. The increasing loss in epoch 2 (0.409 → 0.521) confirms the model was not converging.</w:t>
      </w:r>
    </w:p>
    <w:p w14:paraId="53A0B3C5">
      <w:pPr>
        <w:pStyle w:val="3"/>
        <w:spacing w:before="200" w:after="100"/>
      </w:pPr>
      <w:r>
        <w:rPr>
          <w:rFonts w:ascii="Times New Roman" w:hAnsi="Times New Roman" w:eastAsia="Times New Roman" w:cs="Times New Roman"/>
          <w:b/>
          <w:bCs/>
        </w:rPr>
        <w:t>6.4 Hybrid: A Better Balance</w:t>
      </w:r>
    </w:p>
    <w:p w14:paraId="6DDC3B65">
      <w:pPr>
        <w:spacing w:after="160"/>
        <w:jc w:val="both"/>
      </w:pPr>
      <w:r>
        <w:rPr>
          <w:rFonts w:ascii="Times New Roman" w:hAnsi="Times New Roman" w:eastAsia="Times New Roman" w:cs="Times New Roman"/>
          <w:sz w:val="24"/>
          <w:szCs w:val="24"/>
        </w:rPr>
        <w:t>The hybrid tokenizer's modest improvement over BPE (0.19% vs 0.00% EM) reflects the advantage of preserving whole-word semantics for frequent terms. By keeping common words as single tokens, the hybrid model receives more meaningful input signals for the majority of its vocabulary, even though less-frequent words still fall back to characters. This is the correct direction for bridging the gap between OOV robustness and semantic coherence.</w:t>
      </w:r>
    </w:p>
    <w:p w14:paraId="4CC61C7D">
      <w:pPr>
        <w:pStyle w:val="3"/>
        <w:spacing w:before="200" w:after="100"/>
      </w:pPr>
      <w:r>
        <w:rPr>
          <w:rFonts w:ascii="Times New Roman" w:hAnsi="Times New Roman" w:eastAsia="Times New Roman" w:cs="Times New Roman"/>
          <w:b/>
          <w:bCs/>
        </w:rPr>
        <w:t>6.5 Dynamic Token Merging: Best Extension Strategy</w:t>
      </w:r>
    </w:p>
    <w:p w14:paraId="7EA2CF94">
      <w:pPr>
        <w:spacing w:after="160"/>
        <w:jc w:val="both"/>
      </w:pPr>
      <w:r>
        <w:rPr>
          <w:rFonts w:ascii="Times New Roman" w:hAnsi="Times New Roman" w:eastAsia="Times New Roman" w:cs="Times New Roman"/>
          <w:sz w:val="24"/>
          <w:szCs w:val="24"/>
        </w:rPr>
        <w:t>Dynamic Token Merging's strong relative performance (4.23% EM, 6.81% F1) — the closest to the baseline among all alternatives — demonstrates that architectural modifications that preserve pre-trained embeddings are fundamentally more effective than vocabulary replacement under limited training. The merge scorer learns which tokens are redundant for the QA task specifically, effectively compressing the sequence on-the-fly. With more training epochs, this approach is expected to match or surpass the WordPiece baseline while reducing inference-time computation.</w:t>
      </w:r>
    </w:p>
    <w:p w14:paraId="1EBEA90E">
      <w:pPr>
        <w:pStyle w:val="3"/>
        <w:spacing w:before="200" w:after="100"/>
        <w:rPr>
          <w:rFonts w:ascii="Times New Roman" w:hAnsi="Times New Roman" w:eastAsia="Times New Roman" w:cs="Times New Roman"/>
          <w:b/>
          <w:bCs/>
        </w:rPr>
      </w:pPr>
    </w:p>
    <w:p w14:paraId="7CBE4350">
      <w:pPr>
        <w:pStyle w:val="3"/>
        <w:spacing w:before="200" w:after="100"/>
        <w:rPr>
          <w:rFonts w:ascii="Times New Roman" w:hAnsi="Times New Roman" w:eastAsia="Times New Roman" w:cs="Times New Roman"/>
          <w:b/>
          <w:bCs/>
        </w:rPr>
      </w:pPr>
    </w:p>
    <w:p w14:paraId="768B2988">
      <w:pPr>
        <w:pStyle w:val="3"/>
        <w:spacing w:before="200" w:after="100"/>
        <w:rPr>
          <w:rFonts w:ascii="Times New Roman" w:hAnsi="Times New Roman" w:eastAsia="Times New Roman" w:cs="Times New Roman"/>
          <w:b/>
          <w:bCs/>
        </w:rPr>
      </w:pPr>
    </w:p>
    <w:p w14:paraId="3965AF3B">
      <w:pPr>
        <w:pStyle w:val="3"/>
        <w:spacing w:before="200" w:after="100"/>
      </w:pPr>
      <w:bookmarkStart w:id="0" w:name="_GoBack"/>
      <w:bookmarkEnd w:id="0"/>
      <w:r>
        <w:rPr>
          <w:rFonts w:ascii="Times New Roman" w:hAnsi="Times New Roman" w:eastAsia="Times New Roman" w:cs="Times New Roman"/>
          <w:b/>
          <w:bCs/>
        </w:rPr>
        <w:t>6.6 Practical Implications</w:t>
      </w:r>
    </w:p>
    <w:p w14:paraId="55FAECCC">
      <w:pPr>
        <w:spacing w:after="160"/>
        <w:jc w:val="both"/>
      </w:pPr>
      <w:r>
        <w:rPr>
          <w:rFonts w:ascii="Times New Roman" w:hAnsi="Times New Roman" w:eastAsia="Times New Roman" w:cs="Times New Roman"/>
          <w:sz w:val="24"/>
          <w:szCs w:val="24"/>
        </w:rPr>
        <w:t>These results suggest the following guidelines for production BERT QA systems:</w:t>
      </w:r>
    </w:p>
    <w:p w14:paraId="736AE1BD">
      <w:pPr>
        <w:pStyle w:val="14"/>
        <w:numPr>
          <w:ilvl w:val="0"/>
          <w:numId w:val="2"/>
        </w:numPr>
        <w:spacing w:after="80"/>
      </w:pPr>
      <w:r>
        <w:rPr>
          <w:rFonts w:ascii="Times New Roman" w:hAnsi="Times New Roman" w:eastAsia="Times New Roman" w:cs="Times New Roman"/>
          <w:sz w:val="24"/>
          <w:szCs w:val="24"/>
        </w:rPr>
        <w:t>Retain WordPiece unless the model is re-pre-trained from scratch on the target domain.</w:t>
      </w:r>
    </w:p>
    <w:p w14:paraId="6D28EF58">
      <w:pPr>
        <w:pStyle w:val="14"/>
        <w:numPr>
          <w:ilvl w:val="0"/>
          <w:numId w:val="2"/>
        </w:numPr>
        <w:spacing w:after="80"/>
      </w:pPr>
      <w:r>
        <w:rPr>
          <w:rFonts w:ascii="Times New Roman" w:hAnsi="Times New Roman" w:eastAsia="Times New Roman" w:cs="Times New Roman"/>
          <w:sz w:val="24"/>
          <w:szCs w:val="24"/>
        </w:rPr>
        <w:t>BPE becomes viable only with substantially more fine-tuning data or continued pre-training.</w:t>
      </w:r>
    </w:p>
    <w:p w14:paraId="4FBB256A">
      <w:pPr>
        <w:pStyle w:val="14"/>
        <w:numPr>
          <w:ilvl w:val="0"/>
          <w:numId w:val="2"/>
        </w:numPr>
        <w:spacing w:after="80"/>
      </w:pPr>
      <w:r>
        <w:rPr>
          <w:rFonts w:ascii="Times New Roman" w:hAnsi="Times New Roman" w:eastAsia="Times New Roman" w:cs="Times New Roman"/>
          <w:sz w:val="24"/>
          <w:szCs w:val="24"/>
        </w:rPr>
        <w:t>Hybrid and character-level tokenizers are better suited to morphologically rich languages or specialised domains with high OOV rates.</w:t>
      </w:r>
    </w:p>
    <w:p w14:paraId="112CF00E">
      <w:pPr>
        <w:pStyle w:val="14"/>
        <w:numPr>
          <w:ilvl w:val="0"/>
          <w:numId w:val="2"/>
        </w:numPr>
        <w:spacing w:after="80"/>
      </w:pPr>
      <w:r>
        <w:rPr>
          <w:rFonts w:ascii="Times New Roman" w:hAnsi="Times New Roman" w:eastAsia="Times New Roman" w:cs="Times New Roman"/>
          <w:sz w:val="24"/>
          <w:szCs w:val="24"/>
        </w:rPr>
        <w:t>Dynamic Token Merging is the most promising inference-time compression strategy once the scorer has fully converged over many training epochs.</w:t>
      </w:r>
    </w:p>
    <w:p w14:paraId="48FBACA1">
      <w:r>
        <w:br w:type="page"/>
      </w:r>
    </w:p>
    <w:p w14:paraId="0A7A3E22">
      <w:pPr>
        <w:pStyle w:val="2"/>
        <w:spacing w:before="300" w:after="150"/>
      </w:pPr>
      <w:r>
        <w:rPr>
          <w:rFonts w:ascii="Times New Roman" w:hAnsi="Times New Roman" w:eastAsia="Times New Roman" w:cs="Times New Roman"/>
          <w:b/>
          <w:bCs/>
        </w:rPr>
        <w:t>7. Conclusion</w:t>
      </w:r>
    </w:p>
    <w:p w14:paraId="7417AE78">
      <w:pPr>
        <w:spacing w:after="160"/>
        <w:jc w:val="both"/>
      </w:pPr>
      <w:r>
        <w:rPr>
          <w:rFonts w:ascii="Times New Roman" w:hAnsi="Times New Roman" w:eastAsia="Times New Roman" w:cs="Times New Roman"/>
          <w:sz w:val="24"/>
          <w:szCs w:val="24"/>
        </w:rPr>
        <w:t>This project systematically evaluated five tokenization strategies for BERT on extractive question answering using a 1,000-example SQuAD v1.1 subset under identical, controlled training conditions. The key conclusions are:</w:t>
      </w:r>
    </w:p>
    <w:p w14:paraId="792BA117">
      <w:pPr>
        <w:pStyle w:val="14"/>
        <w:numPr>
          <w:ilvl w:val="0"/>
          <w:numId w:val="2"/>
        </w:numPr>
        <w:spacing w:after="80"/>
      </w:pPr>
      <w:r>
        <w:rPr>
          <w:rFonts w:ascii="Times New Roman" w:hAnsi="Times New Roman" w:eastAsia="Times New Roman" w:cs="Times New Roman"/>
          <w:sz w:val="24"/>
          <w:szCs w:val="24"/>
        </w:rPr>
        <w:t>WordPiece remains the best tokenizer for BERT fine-tuning on limited data because its embedding alignment provides an insurmountable head start. Any alternative vocabulary requires learning new embeddings from scratch.</w:t>
      </w:r>
    </w:p>
    <w:p w14:paraId="0D0BA778">
      <w:pPr>
        <w:pStyle w:val="14"/>
        <w:numPr>
          <w:ilvl w:val="0"/>
          <w:numId w:val="2"/>
        </w:numPr>
        <w:spacing w:after="80"/>
      </w:pPr>
      <w:r>
        <w:rPr>
          <w:rFonts w:ascii="Times New Roman" w:hAnsi="Times New Roman" w:eastAsia="Times New Roman" w:cs="Times New Roman"/>
          <w:sz w:val="24"/>
          <w:szCs w:val="24"/>
        </w:rPr>
        <w:t>Dynamic Token Merging is the most theoretically sound extension. By preserving WordPiece inputs and adding only a learnable merge layer, it retains pre-trained embeddings while uniquely learning task-adaptive compression, achieving 4.23% EM / 6.81% F1.</w:t>
      </w:r>
    </w:p>
    <w:p w14:paraId="6AC5044E">
      <w:pPr>
        <w:pStyle w:val="14"/>
        <w:numPr>
          <w:ilvl w:val="0"/>
          <w:numId w:val="2"/>
        </w:numPr>
        <w:spacing w:after="80"/>
      </w:pPr>
      <w:r>
        <w:rPr>
          <w:rFonts w:ascii="Times New Roman" w:hAnsi="Times New Roman" w:eastAsia="Times New Roman" w:cs="Times New Roman"/>
          <w:sz w:val="24"/>
          <w:szCs w:val="24"/>
        </w:rPr>
        <w:t>BPE's benefits require scale. With full pre-training or an order of magnitude more fine-tuning data, BPE (as in RoBERTa) is a genuine improvement over WordPiece. Under 2-epoch, 1k-sample conditions, cold-start embedding penalties dominate.</w:t>
      </w:r>
    </w:p>
    <w:p w14:paraId="1CD0C73A">
      <w:pPr>
        <w:pStyle w:val="14"/>
        <w:numPr>
          <w:ilvl w:val="0"/>
          <w:numId w:val="2"/>
        </w:numPr>
        <w:spacing w:after="80"/>
      </w:pPr>
      <w:r>
        <w:rPr>
          <w:rFonts w:ascii="Times New Roman" w:hAnsi="Times New Roman" w:eastAsia="Times New Roman" w:cs="Times New Roman"/>
          <w:sz w:val="24"/>
          <w:szCs w:val="24"/>
        </w:rPr>
        <w:t>Character-level tokenization is architecturally incompatible with standard BERT under these constraints. The 5x sequence length explosion forces context truncation and prevents convergence.</w:t>
      </w:r>
    </w:p>
    <w:p w14:paraId="371CCEF0">
      <w:pPr>
        <w:pStyle w:val="14"/>
        <w:numPr>
          <w:ilvl w:val="0"/>
          <w:numId w:val="2"/>
        </w:numPr>
        <w:spacing w:after="80"/>
      </w:pPr>
      <w:r>
        <w:rPr>
          <w:rFonts w:ascii="Times New Roman" w:hAnsi="Times New Roman" w:eastAsia="Times New Roman" w:cs="Times New Roman"/>
          <w:sz w:val="24"/>
          <w:szCs w:val="24"/>
        </w:rPr>
        <w:t>Hybrid tokenization is a practical middle ground, outperforming both BPE and character-level by preserving semantic coherence for common vocabulary while handling rare terms gracefully.</w:t>
      </w:r>
    </w:p>
    <w:p w14:paraId="52398BEA">
      <w:pPr>
        <w:spacing w:after="120"/>
      </w:pPr>
    </w:p>
    <w:p w14:paraId="48C6013B">
      <w:pPr>
        <w:spacing w:after="160"/>
        <w:jc w:val="both"/>
      </w:pPr>
      <w:r>
        <w:rPr>
          <w:rFonts w:ascii="Times New Roman" w:hAnsi="Times New Roman" w:eastAsia="Times New Roman" w:cs="Times New Roman"/>
          <w:b/>
          <w:bCs/>
          <w:sz w:val="24"/>
          <w:szCs w:val="24"/>
        </w:rPr>
        <w:t xml:space="preserve">Future Work: </w:t>
      </w:r>
      <w:r>
        <w:rPr>
          <w:rFonts w:ascii="Times New Roman" w:hAnsi="Times New Roman" w:eastAsia="Times New Roman" w:cs="Times New Roman"/>
          <w:sz w:val="24"/>
          <w:szCs w:val="24"/>
        </w:rPr>
        <w:t>Future experiments should evaluate these strategies with more training epochs (10+), larger data subsets (full 87k SQuAD), morphologically rich languages (where sub-word strategies differ more significantly), and pre-training from scratch with alternative tokenizers to fully isolate their representational capacity.</w:t>
      </w:r>
    </w:p>
    <w:p w14:paraId="58008E81">
      <w:r>
        <w:br w:type="page"/>
      </w:r>
    </w:p>
    <w:p w14:paraId="4DD72048">
      <w:pPr>
        <w:pStyle w:val="2"/>
        <w:spacing w:before="300" w:after="150"/>
      </w:pPr>
      <w:r>
        <w:rPr>
          <w:rFonts w:ascii="Times New Roman" w:hAnsi="Times New Roman" w:eastAsia="Times New Roman" w:cs="Times New Roman"/>
          <w:b/>
          <w:bCs/>
        </w:rPr>
        <w:t>8. References</w:t>
      </w:r>
    </w:p>
    <w:p w14:paraId="3A725953">
      <w:pPr>
        <w:spacing w:after="120"/>
        <w:jc w:val="both"/>
      </w:pPr>
      <w:r>
        <w:rPr>
          <w:rFonts w:ascii="Times New Roman" w:hAnsi="Times New Roman" w:eastAsia="Times New Roman" w:cs="Times New Roman"/>
          <w:sz w:val="24"/>
          <w:szCs w:val="24"/>
        </w:rPr>
        <w:t>[1] Devlin, J., Chang, M.-W., Lee, K., &amp; Toutanova, K. (2019). BERT: Pre-training of deep bidirectional transformers for language understanding. In Proceedings of NAACL-HLT 2019.</w:t>
      </w:r>
    </w:p>
    <w:p w14:paraId="24FE05A9">
      <w:pPr>
        <w:spacing w:after="120"/>
        <w:jc w:val="both"/>
      </w:pPr>
      <w:r>
        <w:rPr>
          <w:rFonts w:ascii="Times New Roman" w:hAnsi="Times New Roman" w:eastAsia="Times New Roman" w:cs="Times New Roman"/>
          <w:sz w:val="24"/>
          <w:szCs w:val="24"/>
        </w:rPr>
        <w:t>[2] Sennrich, R., Haddow, B., &amp; Birch, A. (2016). Neural machine translation of rare words with subword units. In Proceedings of ACL 2016.</w:t>
      </w:r>
    </w:p>
    <w:p w14:paraId="07EED09F">
      <w:pPr>
        <w:spacing w:after="120"/>
        <w:jc w:val="both"/>
      </w:pPr>
      <w:r>
        <w:rPr>
          <w:rFonts w:ascii="Times New Roman" w:hAnsi="Times New Roman" w:eastAsia="Times New Roman" w:cs="Times New Roman"/>
          <w:sz w:val="24"/>
          <w:szCs w:val="24"/>
        </w:rPr>
        <w:t>[3] Rajpurkar, P., Zhang, J., Lopyrev, K., &amp; Liang, P. (2016). SQuAD: 100,000+ questions for machine comprehension of text. In Proceedings of EMNLP 2016.</w:t>
      </w:r>
    </w:p>
    <w:p w14:paraId="2641AADB">
      <w:pPr>
        <w:spacing w:after="120"/>
        <w:jc w:val="both"/>
      </w:pPr>
      <w:r>
        <w:rPr>
          <w:rFonts w:ascii="Times New Roman" w:hAnsi="Times New Roman" w:eastAsia="Times New Roman" w:cs="Times New Roman"/>
          <w:sz w:val="24"/>
          <w:szCs w:val="24"/>
        </w:rPr>
        <w:t>[4] Bolya, D., Fu, C.-Y., Dai, X., Zhang, H., Feichtenhofer, C., &amp; Hoffman, J. (2023). Token merging: Your ViT but faster. In ICLR 2023.</w:t>
      </w:r>
    </w:p>
    <w:p w14:paraId="144584D5">
      <w:pPr>
        <w:spacing w:after="120"/>
        <w:jc w:val="both"/>
      </w:pPr>
      <w:r>
        <w:rPr>
          <w:rFonts w:ascii="Times New Roman" w:hAnsi="Times New Roman" w:eastAsia="Times New Roman" w:cs="Times New Roman"/>
          <w:sz w:val="24"/>
          <w:szCs w:val="24"/>
        </w:rPr>
        <w:t>[5] Ma, W., Cui, Y., Si, C., Liu, T., Wang, S., &amp; Hu, G. (2020). CharBERT: Character-aware pre-trained language model. In Proceedings of COLING 2020.</w:t>
      </w:r>
    </w:p>
    <w:p w14:paraId="0DC79183">
      <w:pPr>
        <w:spacing w:after="120"/>
        <w:jc w:val="both"/>
      </w:pPr>
      <w:r>
        <w:rPr>
          <w:rFonts w:ascii="Times New Roman" w:hAnsi="Times New Roman" w:eastAsia="Times New Roman" w:cs="Times New Roman"/>
          <w:sz w:val="24"/>
          <w:szCs w:val="24"/>
        </w:rPr>
        <w:t>[6] Liu, Y., et al. (2019). RoBERTa: A robustly optimized BERT pretraining approach. arXiv preprint arXiv:1907.11692.</w:t>
      </w:r>
    </w:p>
    <w:p w14:paraId="5081387F">
      <w:pPr>
        <w:spacing w:after="120"/>
        <w:jc w:val="both"/>
      </w:pPr>
      <w:r>
        <w:rPr>
          <w:rFonts w:ascii="Times New Roman" w:hAnsi="Times New Roman" w:eastAsia="Times New Roman" w:cs="Times New Roman"/>
          <w:sz w:val="24"/>
          <w:szCs w:val="24"/>
        </w:rPr>
        <w:t>[7] Clark, K., Khandelwal, U., Levy, O., &amp; Manning, C. D. (2019). What does BERT look at? An analysis of BERT's attention. In BlackboxNLP Workshop 2019.</w:t>
      </w:r>
    </w:p>
    <w:p w14:paraId="6B553266">
      <w:pPr>
        <w:spacing w:after="120"/>
        <w:jc w:val="both"/>
      </w:pPr>
      <w:r>
        <w:rPr>
          <w:rFonts w:ascii="Times New Roman" w:hAnsi="Times New Roman" w:eastAsia="Times New Roman" w:cs="Times New Roman"/>
          <w:sz w:val="24"/>
          <w:szCs w:val="24"/>
        </w:rPr>
        <w:t>[8] Wolf, T., et al. (2020). HuggingFace's Transformers: State-of-the-art natural language processing. In Proceedings of EMNLP 2020 (Systems Demonstrations).</w:t>
      </w:r>
    </w:p>
    <w:p w14:paraId="3A270E0A">
      <w:pPr>
        <w:spacing w:after="80"/>
      </w:pPr>
    </w:p>
    <w:p w14:paraId="6DB3F0EE">
      <w:pPr>
        <w:spacing w:after="160"/>
        <w:jc w:val="both"/>
      </w:pPr>
      <w:r>
        <w:rPr>
          <w:rFonts w:ascii="Times New Roman" w:hAnsi="Times New Roman" w:eastAsia="Times New Roman" w:cs="Times New Roman"/>
          <w:b/>
          <w:bCs/>
          <w:sz w:val="24"/>
          <w:szCs w:val="24"/>
        </w:rPr>
        <w:t>Project Links:</w:t>
      </w:r>
    </w:p>
    <w:p w14:paraId="12EABA7D">
      <w:pPr>
        <w:spacing w:after="80"/>
      </w:pPr>
      <w:r>
        <w:rPr>
          <w:rFonts w:ascii="Times New Roman" w:hAnsi="Times New Roman" w:eastAsia="Times New Roman" w:cs="Times New Roman"/>
          <w:sz w:val="24"/>
          <w:szCs w:val="24"/>
        </w:rPr>
        <w:t xml:space="preserve">Colab Notebook: </w:t>
      </w:r>
      <w:r>
        <w:fldChar w:fldCharType="begin"/>
      </w:r>
      <w:r>
        <w:instrText xml:space="preserve"> HYPERLINK "https://colab.research.google.com/drive/1Is5d-3qjTQQGQiWAmtAdc7ovETTkdemL?usp=sharing" </w:instrText>
      </w:r>
      <w:r>
        <w:fldChar w:fldCharType="separate"/>
      </w:r>
      <w:r>
        <w:rPr>
          <w:rStyle w:val="12"/>
          <w:rFonts w:ascii="Times New Roman" w:hAnsi="Times New Roman" w:eastAsia="Times New Roman" w:cs="Times New Roman"/>
          <w:color w:val="1155CC"/>
          <w:sz w:val="24"/>
          <w:szCs w:val="24"/>
          <w:u w:val="single"/>
        </w:rPr>
        <w:t>https://colab.research.google.com/drive/1Is5d-3qjTQQGQiWAmtAdc7ovETTkdemL?usp=sharing</w:t>
      </w:r>
      <w:r>
        <w:rPr>
          <w:rStyle w:val="12"/>
          <w:rFonts w:ascii="Times New Roman" w:hAnsi="Times New Roman" w:eastAsia="Times New Roman" w:cs="Times New Roman"/>
          <w:color w:val="1155CC"/>
          <w:sz w:val="24"/>
          <w:szCs w:val="24"/>
          <w:u w:val="single"/>
        </w:rPr>
        <w:fldChar w:fldCharType="end"/>
      </w:r>
    </w:p>
    <w:p w14:paraId="0F2D9B58">
      <w:pPr>
        <w:spacing w:after="80"/>
      </w:pPr>
      <w:r>
        <w:rPr>
          <w:rFonts w:ascii="Times New Roman" w:hAnsi="Times New Roman" w:eastAsia="Times New Roman" w:cs="Times New Roman"/>
          <w:sz w:val="24"/>
          <w:szCs w:val="24"/>
        </w:rPr>
        <w:t xml:space="preserve">GitHub Repository: </w:t>
      </w:r>
      <w:r>
        <w:fldChar w:fldCharType="begin"/>
      </w:r>
      <w:r>
        <w:instrText xml:space="preserve"> HYPERLINK "https://github.com/Ayush-jais05/bert-tokenization-project" </w:instrText>
      </w:r>
      <w:r>
        <w:fldChar w:fldCharType="separate"/>
      </w:r>
      <w:r>
        <w:rPr>
          <w:rStyle w:val="12"/>
          <w:rFonts w:ascii="Times New Roman" w:hAnsi="Times New Roman" w:eastAsia="Times New Roman" w:cs="Times New Roman"/>
          <w:color w:val="1155CC"/>
          <w:sz w:val="24"/>
          <w:szCs w:val="24"/>
          <w:u w:val="single"/>
        </w:rPr>
        <w:t>https://github.com/Ayush-jais05/bert-tokenization-project</w:t>
      </w:r>
      <w:r>
        <w:rPr>
          <w:rStyle w:val="12"/>
          <w:rFonts w:ascii="Times New Roman" w:hAnsi="Times New Roman" w:eastAsia="Times New Roman" w:cs="Times New Roman"/>
          <w:color w:val="1155CC"/>
          <w:sz w:val="24"/>
          <w:szCs w:val="24"/>
          <w:u w:val="single"/>
        </w:rPr>
        <w:fldChar w:fldCharType="end"/>
      </w:r>
    </w:p>
    <w:sectPr>
      <w:footerReference r:id="rId3"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1B9D8">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singleLevel"/>
    <w:tmpl w:val="03D62ECE"/>
    <w:lvl w:ilvl="0" w:tentative="0">
      <w:start w:val="1"/>
      <w:numFmt w:val="bullet"/>
      <w:lvlText w:val="•"/>
      <w:lvlJc w:val="left"/>
      <w:pPr>
        <w:ind w:left="720" w:hanging="360"/>
      </w:pPr>
    </w:lvl>
  </w:abstractNum>
  <w:abstractNum w:abstractNumId="1">
    <w:nsid w:val="72183CF9"/>
    <w:multiLevelType w:val="singleLevel"/>
    <w:tmpl w:val="72183CF9"/>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FD77F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00" w:after="15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11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2026-03-24T20:08:00Z</dcterms:created>
  <dc:creator>Un-named</dc:creator>
  <cp:lastModifiedBy>Ranchordas Chanchar</cp:lastModifiedBy>
  <dcterms:modified xsi:type="dcterms:W3CDTF">2026-03-24T20:21:40Z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09A34E00697E40B6AADA80AEDB2A53B2_12</vt:lpwstr>
  </property>
</Properties>
</file>