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  <w:t>Question-:</w:t>
      </w:r>
    </w:p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  <w:t>Upgrade an existing e-commerce platform to support international expansion. The project involves</w:t>
      </w:r>
    </w:p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  <w:t>adding new features and functionalities in phases, starting with basic localization and payment</w:t>
      </w:r>
    </w:p>
    <w:p>
      <w:pPr>
        <w:pStyle w:val="Normal"/>
        <w:tabs>
          <w:tab w:val="clear" w:pos="720"/>
          <w:tab w:val="left" w:pos="3097" w:leader="none"/>
        </w:tabs>
        <w:rPr>
          <w:lang w:val="en-US"/>
        </w:rPr>
      </w:pPr>
      <w:r>
        <w:rPr>
          <w:lang w:val="en-US"/>
        </w:rPr>
        <w:t>options, and gradually expanding to support multiple languages and currencies.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>
          <w:lang w:val="en-US"/>
        </w:rPr>
      </w:pPr>
      <w:r>
        <w:rPr>
          <w:rStyle w:val="StrongEmphasis"/>
          <w:lang w:val="en-US"/>
        </w:rPr>
        <w:t>Task 1.1: Software Development Models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Waterfall</w:t>
      </w:r>
      <w:r>
        <w:rPr/>
        <w:t xml:space="preserve"> – Linear, step-by-step (Requirements → Design → Coding → Testing → Deployment).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Agile</w:t>
      </w:r>
      <w:r>
        <w:rPr/>
        <w:t xml:space="preserve"> – Iterative, flexible (Sprints, continuous feedback).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Spiral</w:t>
      </w:r>
      <w:r>
        <w:rPr/>
        <w:t xml:space="preserve"> – Risk-focused, combines prototyping + iterative cycles.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V-Model</w:t>
      </w:r>
      <w:r>
        <w:rPr/>
        <w:t xml:space="preserve"> – Testing at each stage (Verification &amp; Validation).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1.2: Comparison of Models</w:t>
      </w:r>
    </w:p>
    <w:tbl>
      <w:tblPr>
        <w:tblW w:w="8667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9"/>
        <w:gridCol w:w="2547"/>
        <w:gridCol w:w="2362"/>
        <w:gridCol w:w="2769"/>
      </w:tblGrid>
      <w:tr>
        <w:trPr>
          <w:tblHeader w:val="true"/>
        </w:trPr>
        <w:tc>
          <w:tcPr>
            <w:tcW w:w="98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Model</w:t>
            </w:r>
          </w:p>
        </w:tc>
        <w:tc>
          <w:tcPr>
            <w:tcW w:w="2547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Best For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Risk Management</w:t>
            </w:r>
          </w:p>
        </w:tc>
        <w:tc>
          <w:tcPr>
            <w:tcW w:w="276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Constraints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Waterfall</w:t>
            </w:r>
          </w:p>
        </w:tc>
        <w:tc>
          <w:tcPr>
            <w:tcW w:w="2547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Stable, predictable projects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Low (late risk detection)</w:t>
            </w:r>
          </w:p>
        </w:tc>
        <w:tc>
          <w:tcPr>
            <w:tcW w:w="276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Rigid, no changes allowed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Agile</w:t>
            </w:r>
          </w:p>
        </w:tc>
        <w:tc>
          <w:tcPr>
            <w:tcW w:w="2547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Dynamic, evolving projects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High (continuous testing)</w:t>
            </w:r>
          </w:p>
        </w:tc>
        <w:tc>
          <w:tcPr>
            <w:tcW w:w="276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Needs customer involvement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Spiral</w:t>
            </w:r>
          </w:p>
        </w:tc>
        <w:tc>
          <w:tcPr>
            <w:tcW w:w="2547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High-risk, complex projects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Best (risk-driven cycles)</w:t>
            </w:r>
          </w:p>
        </w:tc>
        <w:tc>
          <w:tcPr>
            <w:tcW w:w="276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Expensive, time-consuming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V-Model</w:t>
            </w:r>
          </w:p>
        </w:tc>
        <w:tc>
          <w:tcPr>
            <w:tcW w:w="2547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Safety-critical systems</w:t>
            </w:r>
          </w:p>
        </w:tc>
        <w:tc>
          <w:tcPr>
            <w:tcW w:w="2362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Moderate (early testing)</w:t>
            </w:r>
          </w:p>
        </w:tc>
        <w:tc>
          <w:tcPr>
            <w:tcW w:w="276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Inflexible, no iterations</w:t>
            </w:r>
          </w:p>
        </w:tc>
      </w:tr>
    </w:tbl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1.3: Pros &amp; Cons of Each Model</w:t>
      </w:r>
    </w:p>
    <w:tbl>
      <w:tblPr>
        <w:tblW w:w="6872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9"/>
        <w:gridCol w:w="3088"/>
        <w:gridCol w:w="2795"/>
      </w:tblGrid>
      <w:tr>
        <w:trPr>
          <w:tblHeader w:val="true"/>
        </w:trPr>
        <w:tc>
          <w:tcPr>
            <w:tcW w:w="989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Model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Advantages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ableHeading"/>
              <w:suppressLineNumbers/>
              <w:spacing w:before="0" w:after="200"/>
              <w:jc w:val="center"/>
              <w:rPr/>
            </w:pPr>
            <w:r>
              <w:rPr>
                <w:rStyle w:val="StrongEmphasis"/>
                <w:b/>
              </w:rPr>
              <w:t>Limitations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Waterfall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Simple, clear milestones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No flexibility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Agile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Fast, adaptive, customer-focused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Requires high collaboration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Spiral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Strong risk control, scalable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Complex to manage</w:t>
            </w:r>
          </w:p>
        </w:tc>
      </w:tr>
      <w:tr>
        <w:trPr/>
        <w:tc>
          <w:tcPr>
            <w:tcW w:w="989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>
                <w:rStyle w:val="StrongEmphasis"/>
              </w:rPr>
              <w:t>V-Model</w:t>
            </w:r>
          </w:p>
        </w:tc>
        <w:tc>
          <w:tcPr>
            <w:tcW w:w="3088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Reliable, strict quality checks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TableContents"/>
              <w:suppressLineNumbers/>
              <w:spacing w:before="0" w:after="200"/>
              <w:rPr/>
            </w:pPr>
            <w:r>
              <w:rPr/>
              <w:t>Slow, no mid-project changes</w:t>
            </w:r>
          </w:p>
        </w:tc>
      </w:tr>
    </w:tbl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2.1: Key Software Development Processes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Requirements</w:t>
      </w:r>
      <w:r>
        <w:rPr/>
        <w:t xml:space="preserve"> – Define features (e.g., multi-currency support).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Design</w:t>
      </w:r>
      <w:r>
        <w:rPr/>
        <w:t xml:space="preserve"> – Plan architecture (e.g., payment gateway integration).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Coding</w:t>
      </w:r>
      <w:r>
        <w:rPr/>
        <w:t xml:space="preserve"> – Build functionalities in phases.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Testing</w:t>
      </w:r>
      <w:r>
        <w:rPr/>
        <w:t xml:space="preserve"> – Check for bugs (e.g., currency conversion accuracy).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Deployment</w:t>
      </w:r>
      <w:r>
        <w:rPr/>
        <w:t xml:space="preserve"> – Roll out updates incrementally.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Maintenance</w:t>
      </w:r>
      <w:r>
        <w:rPr/>
        <w:t xml:space="preserve"> – Fix issues, improve performance.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2.2: Repeatability &amp; Best Practices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Repeatability</w:t>
      </w:r>
      <w:r>
        <w:rPr/>
        <w:t>: Use templates (e.g., Agile sprints, test cases).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Best Practices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lang w:val="en-US"/>
        </w:rPr>
      </w:pPr>
      <w:r>
        <w:rPr/>
        <w:t>Modular coding for easy updates.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lang w:val="en-US"/>
        </w:rPr>
      </w:pPr>
      <w:r>
        <w:rPr/>
        <w:t>Automated testing for consistency.</w:t>
      </w:r>
    </w:p>
    <w:p>
      <w:pPr>
        <w:pStyle w:val="TextBody"/>
        <w:numPr>
          <w:ilvl w:val="1"/>
          <w:numId w:val="3"/>
        </w:numPr>
        <w:tabs>
          <w:tab w:val="clear" w:pos="720"/>
          <w:tab w:val="left" w:pos="0" w:leader="none"/>
        </w:tabs>
        <w:ind w:left="1414" w:hanging="283"/>
        <w:rPr>
          <w:lang w:val="en-US"/>
        </w:rPr>
      </w:pPr>
      <w:r>
        <w:rPr/>
        <w:t>CI/CD pipelines for smooth deployments.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2.3: Process Assurance Methods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Standards</w:t>
      </w:r>
      <w:r>
        <w:rPr/>
        <w:t>: Follow ISO/IEC 12207 for lifecycle processes.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Audits</w:t>
      </w:r>
      <w:r>
        <w:rPr/>
        <w:t>: Regular code/process reviews.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Metrics</w:t>
      </w:r>
      <w:r>
        <w:rPr/>
        <w:t>: Track defects, deployment success rates.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Recommendation for E-Commerce Upgrade</w:t>
      </w:r>
    </w:p>
    <w:p>
      <w:pPr>
        <w:pStyle w:val="TextBody"/>
        <w:rPr>
          <w:lang w:val="en-US"/>
        </w:rPr>
      </w:pPr>
      <w:r>
        <w:rPr>
          <w:rStyle w:val="StrongEmphasis"/>
        </w:rPr>
        <w:t>Use Agile</w:t>
      </w:r>
      <w:r>
        <w:rPr/>
        <w:t xml:space="preserve"> (phased releases, adaptability) + </w:t>
      </w:r>
      <w:r>
        <w:rPr>
          <w:rStyle w:val="StrongEmphasis"/>
        </w:rPr>
        <w:t>Spiral</w:t>
      </w:r>
      <w:r>
        <w:rPr/>
        <w:t xml:space="preserve"> (risk checks for payment/language integrations). Avoid Waterfall (too rigid) and V-Model (overkill for e-commerce).</w:t>
      </w:r>
    </w:p>
    <w:p>
      <w:pPr>
        <w:pStyle w:val="TextBody"/>
        <w:rPr>
          <w:lang w:val="en-US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-78105</wp:posOffset>
            </wp:positionH>
            <wp:positionV relativeFrom="paragraph">
              <wp:posOffset>54610</wp:posOffset>
            </wp:positionV>
            <wp:extent cx="5455285" cy="289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TextBody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3.1: Verification &amp; Validation (V&amp;V) Techniques</w:t>
      </w:r>
    </w:p>
    <w:p>
      <w:pPr>
        <w:pStyle w:val="TextBody"/>
        <w:rPr>
          <w:lang w:val="en-US"/>
        </w:rPr>
      </w:pPr>
      <w:r>
        <w:rPr>
          <w:rStyle w:val="StrongEmphasis"/>
        </w:rPr>
        <w:t>Verification</w:t>
      </w:r>
      <w:r>
        <w:rPr/>
        <w:t xml:space="preserve"> (Checking if software is built correctly):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Reviews &amp; Inspections</w:t>
      </w:r>
      <w:r>
        <w:rPr/>
        <w:t xml:space="preserve"> – Manual checks of requirements, design, code.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Static Analysis</w:t>
      </w:r>
      <w:r>
        <w:rPr/>
        <w:t xml:space="preserve"> – Automated code review (e.g., SonarQube).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Walkthroughs</w:t>
      </w:r>
      <w:r>
        <w:rPr/>
        <w:t xml:space="preserve"> – Team discussions to spot errors early.</w:t>
      </w:r>
    </w:p>
    <w:p>
      <w:pPr>
        <w:pStyle w:val="TextBody"/>
        <w:rPr>
          <w:lang w:val="en-US"/>
        </w:rPr>
      </w:pPr>
      <w:r>
        <w:rPr>
          <w:rStyle w:val="StrongEmphasis"/>
        </w:rPr>
        <w:t>Validation</w:t>
      </w:r>
      <w:r>
        <w:rPr/>
        <w:t xml:space="preserve"> (Checking if the right software is built):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Testing</w:t>
      </w:r>
      <w:r>
        <w:rPr/>
        <w:t xml:space="preserve"> – Unit, integration, system, UAT (User Acceptance Testing).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Prototyping</w:t>
      </w:r>
      <w:r>
        <w:rPr/>
        <w:t xml:space="preserve"> – Early user feedback on features.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Beta Testing</w:t>
      </w:r>
      <w:r>
        <w:rPr/>
        <w:t xml:space="preserve"> – Real-world usage before final release.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3.2: Quality Control Case Studies in Software Models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Agile (Spotify)</w:t>
      </w:r>
      <w:r>
        <w:rPr/>
        <w:t xml:space="preserve"> – Frequent testing, CI/CD pipelines, and automated checks ensure quality in rapid releases.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Waterfall (NASA’s Space Shuttle Software)</w:t>
      </w:r>
      <w:r>
        <w:rPr/>
        <w:t xml:space="preserve"> – Rigorous V&amp;V at each phase to prevent mission-critical failures.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Spiral (Microsoft Windows Development)</w:t>
      </w:r>
      <w:r>
        <w:rPr/>
        <w:t xml:space="preserve"> – Risk-driven prototypes and iterative testing reduced OS crashes.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V-Model (Medical Software – FDA Compliance)</w:t>
      </w:r>
      <w:r>
        <w:rPr/>
        <w:t xml:space="preserve"> – Strict validation for safety-critical systems.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3.3: Applying IEEE 1012-1998 Standards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Requirements V&amp;V</w:t>
      </w:r>
      <w:r>
        <w:rPr/>
        <w:t xml:space="preserve"> – Traceability matrices to ensure all requirements are testable.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Design V&amp;V</w:t>
      </w:r>
      <w:r>
        <w:rPr/>
        <w:t xml:space="preserve"> – Architecture reviews for scalability and security.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Code V&amp;V</w:t>
      </w:r>
      <w:r>
        <w:rPr/>
        <w:t xml:space="preserve"> – Static/dynamic analysis to meet coding standards.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Testing V&amp;V</w:t>
      </w:r>
      <w:r>
        <w:rPr/>
        <w:t xml:space="preserve"> – Test coverage metrics (e.g., 90%+ for critical modules).</w:t>
      </w:r>
    </w:p>
    <w:p>
      <w:pPr>
        <w:pStyle w:val="TextBody"/>
        <w:rPr>
          <w:lang w:val="en-US"/>
        </w:rPr>
      </w:pPr>
      <w:r>
        <w:rPr>
          <w:rStyle w:val="StrongEmphasis"/>
        </w:rPr>
        <w:t>Example</w:t>
      </w:r>
      <w:r>
        <w:rPr/>
        <w:t>: In an e-commerce upgrade, use IEEE 1012 to validate: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Payment gateways (transaction accuracy).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Localization (language/currency display correctness).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4.1: Quality Assurance (QA) Techniques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Peer Reviews</w:t>
      </w:r>
      <w:r>
        <w:rPr/>
        <w:t xml:space="preserve"> – Code/design reviews by team members.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Automated Testing</w:t>
      </w:r>
      <w:r>
        <w:rPr/>
        <w:t xml:space="preserve"> – Selenium (UI), JUnit (unit tests), LoadRunner (performance).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Audits</w:t>
      </w:r>
      <w:r>
        <w:rPr/>
        <w:t xml:space="preserve"> – Compliance checks (e.g., PCI-DSS for payment security).</w:t>
      </w:r>
    </w:p>
    <w:p>
      <w:pPr>
        <w:pStyle w:val="TextBody"/>
        <w:rPr>
          <w:lang w:val="en-US"/>
        </w:rPr>
      </w:pPr>
      <w:r>
        <w:rPr>
          <w:rStyle w:val="StrongEmphasis"/>
        </w:rPr>
        <w:t>For E-Commerce Upgrade</w:t>
      </w:r>
      <w:r>
        <w:rPr/>
        <w:t>: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Automate currency conversion tests.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/>
        <w:t>Audit third-party payment integrations.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4.2: Quality Control Checklists</w:t>
      </w:r>
    </w:p>
    <w:p>
      <w:pPr>
        <w:pStyle w:val="TextBody"/>
        <w:rPr>
          <w:lang w:val="en-US"/>
        </w:rPr>
      </w:pPr>
      <w:r>
        <w:rPr>
          <w:rStyle w:val="StrongEmphasis"/>
        </w:rPr>
        <w:t>Process Evaluation Checklist</w:t>
      </w:r>
      <w:r>
        <w:rPr/>
        <w:t>:</w:t>
        <w:br/>
        <w:t xml:space="preserve"> </w:t>
      </w:r>
      <w:r>
        <w:rPr/>
        <w:t>Q.</w:t>
      </w:r>
      <w:r>
        <w:rPr/>
        <w:t>Are requirements traceable to tests?</w:t>
        <w:br/>
        <w:t xml:space="preserve"> </w:t>
      </w:r>
      <w:r>
        <w:rPr/>
        <w:t>Q.</w:t>
      </w:r>
      <w:r>
        <w:rPr/>
        <w:t>Is code reviewed before merging?</w:t>
        <w:br/>
        <w:t xml:space="preserve"> </w:t>
      </w:r>
      <w:r>
        <w:rPr/>
        <w:t>Q.</w:t>
      </w:r>
      <w:r>
        <w:rPr/>
        <w:t>Are deployment rollbacks possible?</w:t>
      </w:r>
    </w:p>
    <w:p>
      <w:pPr>
        <w:pStyle w:val="TextBody"/>
        <w:rPr>
          <w:lang w:val="en-US"/>
        </w:rPr>
      </w:pPr>
      <w:r>
        <w:rPr>
          <w:rStyle w:val="StrongEmphasis"/>
        </w:rPr>
        <w:t>Product Evaluation Checklist</w:t>
      </w:r>
      <w:r>
        <w:rPr/>
        <w:t>:</w:t>
        <w:br/>
        <w:t xml:space="preserve"> </w:t>
      </w:r>
      <w:r>
        <w:rPr/>
        <w:t>Q.</w:t>
      </w:r>
      <w:r>
        <w:rPr/>
        <w:t>Do all payment methods work globally?</w:t>
        <w:br/>
        <w:t xml:space="preserve"> </w:t>
      </w:r>
      <w:r>
        <w:rPr/>
        <w:t>Q.</w:t>
      </w:r>
      <w:r>
        <w:rPr/>
        <w:t>Is multilingual UI error-free?</w:t>
        <w:br/>
        <w:t xml:space="preserve"> </w:t>
      </w:r>
      <w:r>
        <w:rPr/>
        <w:t>Q.</w:t>
      </w:r>
      <w:r>
        <w:rPr/>
        <w:t>Does the site handle peak traffic?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Task 4.3: Real-World Quality Management Case Studies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Amazon’s Deployment Rollback (2006)</w:t>
      </w:r>
      <w:r>
        <w:rPr/>
        <w:t xml:space="preserve"> – A failed database update caused outages; improved QA now includes phased rollouts.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Knight Capital Group (2012)</w:t>
      </w:r>
      <w:r>
        <w:rPr/>
        <w:t xml:space="preserve"> – A software bug lost $460M in 45 mins due to poor testing; now a benchmark for financial QA.</w:t>
      </w:r>
    </w:p>
    <w:p>
      <w:pPr>
        <w:pStyle w:val="TextBody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Airbnb’s Localization Testing</w:t>
      </w:r>
      <w:r>
        <w:rPr/>
        <w:t xml:space="preserve"> – Used crowdsourced testers to validate translations and regional payment methods.</w:t>
      </w:r>
    </w:p>
    <w:p>
      <w:pPr>
        <w:pStyle w:val="HorizontalLine"/>
        <w:rPr>
          <w:lang w:val="en-US"/>
        </w:rPr>
      </w:pPr>
      <w:r>
        <w:rPr/>
      </w:r>
    </w:p>
    <w:p>
      <w:pPr>
        <w:pStyle w:val="Heading3"/>
        <w:rPr>
          <w:lang w:val="en-US"/>
        </w:rPr>
      </w:pPr>
      <w:r>
        <w:rPr>
          <w:rStyle w:val="StrongEmphasis"/>
        </w:rPr>
        <w:t>Key Takeaways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Agile + Automation</w:t>
      </w:r>
      <w:r>
        <w:rPr/>
        <w:t xml:space="preserve"> works best for e-commerce upgrades (speed + quality).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IEEE 1012</w:t>
      </w:r>
      <w:r>
        <w:rPr/>
        <w:t xml:space="preserve"> ensures structured V&amp;V for compliance.</w:t>
      </w:r>
    </w:p>
    <w:p>
      <w:pPr>
        <w:pStyle w:val="TextBody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lang w:val="en-US"/>
        </w:rPr>
      </w:pPr>
      <w:r>
        <w:rPr>
          <w:rStyle w:val="StrongEmphasis"/>
        </w:rPr>
        <w:t>Checklists/Audits</w:t>
      </w:r>
      <w:r>
        <w:rPr/>
        <w:t xml:space="preserve"> prevent costly errors in global expansions.</w:t>
      </w:r>
    </w:p>
    <w:p>
      <w:pPr>
        <w:pStyle w:val="TextBody"/>
        <w:rPr>
          <w:lang w:val="en-US"/>
        </w:rPr>
      </w:pPr>
      <w:r>
        <w:rPr>
          <w:rStyle w:val="StrongEmphasis"/>
        </w:rPr>
        <w:t>Recommendation</w:t>
      </w:r>
      <w:r>
        <w:rPr/>
        <w:t xml:space="preserve">: Combine </w:t>
      </w:r>
      <w:r>
        <w:rPr>
          <w:rStyle w:val="StrongEmphasis"/>
        </w:rPr>
        <w:t>Agile sprints</w:t>
      </w:r>
      <w:r>
        <w:rPr/>
        <w:t xml:space="preserve"> (for phased feature rollouts) + </w:t>
      </w:r>
      <w:r>
        <w:rPr>
          <w:rStyle w:val="StrongEmphasis"/>
        </w:rPr>
        <w:t>Automated testing</w:t>
      </w:r>
      <w:r>
        <w:rPr/>
        <w:t xml:space="preserve"> (for payment/localization checks) + </w:t>
      </w:r>
      <w:r>
        <w:rPr>
          <w:rStyle w:val="StrongEmphasis"/>
        </w:rPr>
        <w:t>Peer reviews</w:t>
      </w:r>
      <w:r>
        <w:rPr/>
        <w:t xml:space="preserve"> (to maintain code quality).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2119" w:leader="none"/>
        </w:tabs>
        <w:spacing w:before="0" w:after="200"/>
        <w:rPr>
          <w:lang w:val="en-US"/>
        </w:rPr>
      </w:pPr>
      <w:r>
        <w:rPr>
          <w:lang w:val="en-US"/>
        </w:rPr>
        <w:tab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284" w:top="1134" w:footer="708" w:bottom="1440" w:gutter="0"/>
      <w:pgBorders w:display="allPages" w:offsetFrom="page">
        <w:left w:val="single" w:sz="4" w:space="24" w:color="17365D"/>
        <w:bottom w:val="single" w:sz="4" w:space="24" w:color="17365D"/>
        <w:right w:val="single" w:sz="4" w:space="24" w:color="17365D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ptos Display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88719359"/>
    </w:sdtPr>
    <w:sdtContent>
      <w:p>
        <w:pPr>
          <w:pStyle w:val="Footer"/>
          <w:rPr>
            <w:sz w:val="20"/>
            <w:szCs w:val="20"/>
          </w:rPr>
        </w:pPr>
        <w:r>
          <w:rPr>
            <w:sz w:val="20"/>
            <w:szCs w:val="20"/>
            <w:lang w:val="en-US"/>
          </w:rPr>
          <w:t xml:space="preserve">SE_Lab-Activity Document (Ref: </w:t>
        </w:r>
        <w:bookmarkStart w:id="1" w:name="_Hlk191643895"/>
        <w:r>
          <w:rPr>
            <w:sz w:val="18"/>
            <w:szCs w:val="18"/>
            <w:lang w:val="en-US"/>
          </w:rPr>
          <w:t>SE_Lab-Manual</w:t>
        </w:r>
        <w:bookmarkEnd w:id="1"/>
        <w:r>
          <w:rPr>
            <w:sz w:val="18"/>
            <w:szCs w:val="18"/>
            <w:lang w:val="en-US"/>
          </w:rPr>
          <w:t>_28Feb25-V_1.0</w:t>
        </w:r>
        <w:r>
          <w:rPr>
            <w:sz w:val="16"/>
            <w:szCs w:val="16"/>
            <w:lang w:val="en-US"/>
          </w:rPr>
          <w:t xml:space="preserve">d)                                             </w:t>
        </w:r>
        <w:r>
          <w:rPr>
            <w:sz w:val="20"/>
            <w:szCs w:val="20"/>
            <w:lang w:val="en-US"/>
          </w:rPr>
          <w:tab/>
          <w:t>Page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PAGE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6</w:t>
        </w:r>
        <w:r>
          <w:rPr>
            <w:sz w:val="20"/>
            <w:b/>
            <w:szCs w:val="20"/>
            <w:bCs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sz w:val="20"/>
            <w:b/>
            <w:szCs w:val="20"/>
            <w:bCs/>
          </w:rPr>
          <w:instrText> NUMPAGES </w:instrText>
        </w:r>
        <w:r>
          <w:rPr>
            <w:sz w:val="20"/>
            <w:b/>
            <w:szCs w:val="20"/>
            <w:bCs/>
          </w:rPr>
          <w:fldChar w:fldCharType="separate"/>
        </w:r>
        <w:r>
          <w:rPr>
            <w:sz w:val="20"/>
            <w:b/>
            <w:szCs w:val="20"/>
            <w:bCs/>
          </w:rPr>
          <w:t>6</w:t>
        </w:r>
        <w:r>
          <w:rPr>
            <w:sz w:val="20"/>
            <w:b/>
            <w:szCs w:val="20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pPr w:bottomFromText="0" w:horzAnchor="margin" w:leftFromText="180" w:rightFromText="180" w:tblpX="0" w:tblpXSpec="center" w:tblpY="-1005" w:topFromText="0" w:vertAnchor="margin"/>
      <w:tblW w:w="1046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468"/>
    </w:tblGrid>
    <w:tr>
      <w:trPr>
        <w:trHeight w:val="1272" w:hRule="atLeast"/>
      </w:trPr>
      <w:tc>
        <w:tcPr>
          <w:tcW w:w="104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tbl>
          <w:tblPr>
            <w:tblW w:w="9765" w:type="dxa"/>
            <w:jc w:val="center"/>
            <w:tblInd w:w="0" w:type="dxa"/>
            <w:tblCellMar>
              <w:top w:w="0" w:type="dxa"/>
              <w:left w:w="108" w:type="dxa"/>
              <w:bottom w:w="0" w:type="dxa"/>
              <w:right w:w="108" w:type="dxa"/>
            </w:tblCellMar>
            <w:tblLook w:val="0400" w:noHBand="0" w:noVBand="1" w:firstColumn="0" w:lastRow="0" w:lastColumn="0" w:firstRow="0"/>
          </w:tblPr>
          <w:tblGrid>
            <w:gridCol w:w="1366"/>
            <w:gridCol w:w="7245"/>
            <w:gridCol w:w="1154"/>
          </w:tblGrid>
          <w:tr>
            <w:trPr>
              <w:tblHeader w:val="true"/>
              <w:trHeight w:val="807" w:hRule="atLeast"/>
              <w:cantSplit w:val="true"/>
            </w:trPr>
            <w:tc>
              <w:tcPr>
                <w:tcW w:w="1366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24"/>
                    <w:szCs w:val="24"/>
                  </w:rPr>
                  <w:drawing>
                    <wp:anchor behindDoc="1" distT="0" distB="0" distL="0" distR="0" simplePos="0" locked="0" layoutInCell="1" allowOverlap="1" relativeHeight="7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47625</wp:posOffset>
                      </wp:positionV>
                      <wp:extent cx="730250" cy="384175"/>
                      <wp:effectExtent l="0" t="0" r="0" b="0"/>
                      <wp:wrapNone/>
                      <wp:docPr id="2" name="Picture 4" descr="C:\Users\user\Pictures\nitteimg-foote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4" descr="C:\Users\user\Pictures\nitteimg-footer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384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45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b/>
                    <w:b/>
                    <w:smallCaps/>
                    <w:color w:val="000000"/>
                    <w:sz w:val="36"/>
                    <w:szCs w:val="36"/>
                  </w:rPr>
                </w:pPr>
                <w:r>
                  <w:rPr>
                    <w:rFonts w:eastAsia="Cambria" w:cs="Cambria" w:ascii="Aptos Display" w:hAnsi="Aptos Display"/>
                    <w:b/>
                    <w:smallCaps/>
                    <w:color w:val="000000"/>
                    <w:sz w:val="36"/>
                    <w:szCs w:val="36"/>
                  </w:rPr>
                  <w:t>Nitte Meenakshi Institute of Technology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>(AN AUTONOMOUS INSTITUTION )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4"/>
                    <w:szCs w:val="14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APPROVED AND </w:t>
                </w:r>
                <w:r>
                  <w:rPr>
                    <w:rFonts w:eastAsia="Cambria" w:cs="Cambria" w:ascii="Aptos Display" w:hAnsi="Aptos Display"/>
                    <w:sz w:val="14"/>
                    <w:szCs w:val="14"/>
                  </w:rPr>
                  <w:t>ACCREDITED</w:t>
                </w:r>
                <w:r>
                  <w:rPr>
                    <w:rFonts w:eastAsia="Cambria" w:cs="Cambria" w:ascii="Aptos Display" w:hAnsi="Aptos Display"/>
                    <w:color w:val="000000"/>
                    <w:sz w:val="14"/>
                    <w:szCs w:val="14"/>
                  </w:rPr>
                  <w:t xml:space="preserve"> BY AICTE ,AFFILIATED TO VISVESVARAYA TECHNOLOGICAL UNIVERSITY, 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16"/>
                    <w:szCs w:val="16"/>
                  </w:rPr>
                </w:pPr>
                <w:r>
                  <w:rPr>
                    <w:rFonts w:eastAsia="Cambria" w:cs="Cambria" w:ascii="Aptos Display" w:hAnsi="Aptos Display"/>
                    <w:color w:val="000000"/>
                    <w:sz w:val="16"/>
                    <w:szCs w:val="16"/>
                  </w:rPr>
                  <w:t>PB NO. 6429, YELAHANKA, BANGALORE 560-064, KARNATAKA</w:t>
                </w:r>
              </w:p>
              <w:p>
                <w:pPr>
                  <w:pStyle w:val="Normal"/>
                  <w:widowControl w:val="false"/>
                  <w:pBdr/>
                  <w:spacing w:lineRule="auto" w:line="240" w:before="0" w:after="0"/>
                  <w:jc w:val="center"/>
                  <w:rPr>
                    <w:rFonts w:ascii="Aptos Display" w:hAnsi="Aptos Display" w:eastAsia="Cambria" w:cs="Cambria"/>
                    <w:color w:val="000000"/>
                    <w:sz w:val="30"/>
                    <w:szCs w:val="30"/>
                  </w:rPr>
                </w:pPr>
                <w:r>
                  <w:rPr>
                    <w:rFonts w:eastAsia="Cambria" w:cs="Cambria" w:ascii="Aptos Display" w:hAnsi="Aptos Display"/>
                    <w:sz w:val="30"/>
                    <w:szCs w:val="30"/>
                  </w:rPr>
                  <w:t>Department of Information Science and Engineering</w:t>
                </w:r>
              </w:p>
            </w:tc>
            <w:tc>
              <w:tcPr>
                <w:tcW w:w="1154" w:type="dxa"/>
                <w:tcBorders>
                  <w:top w:val="single" w:sz="4" w:space="0" w:color="FFFFFF"/>
                  <w:left w:val="single" w:sz="4" w:space="0" w:color="FFFFFF"/>
                  <w:bottom w:val="single" w:sz="4" w:space="0" w:color="FFFFFF"/>
                  <w:right w:val="single" w:sz="4" w:space="0" w:color="FFFFFF"/>
                </w:tcBorders>
              </w:tcPr>
              <w:p>
                <w:pPr>
                  <w:pStyle w:val="Normal"/>
                  <w:widowControl w:val="false"/>
                  <w:pBdr/>
                  <w:spacing w:lineRule="auto" w:line="240" w:before="0" w:after="0"/>
                  <w:rPr>
                    <w:rFonts w:ascii="Aptos Display" w:hAnsi="Aptos Display" w:eastAsia="Cambria" w:cs="Cambria"/>
                    <w:color w:val="000000"/>
                    <w:sz w:val="24"/>
                    <w:szCs w:val="24"/>
                  </w:rPr>
                </w:pPr>
                <w:r>
                  <w:rPr/>
                  <w:drawing>
                    <wp:inline distT="0" distB="0" distL="0" distR="0">
                      <wp:extent cx="730250" cy="704850"/>
                      <wp:effectExtent l="0" t="0" r="0" b="0"/>
                      <wp:docPr id="3" name="Picture 3" descr="http://www.nmit.ac.in/Images/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 descr="http://www.nmit.ac.in/Images/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30250" cy="7048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Start w:id="0" w:name="_Hlk191643481"/>
                <w:bookmarkEnd w:id="0"/>
              </w:p>
            </w:tc>
          </w:tr>
        </w:tbl>
        <w:p>
          <w:pPr>
            <w:pStyle w:val="Normal"/>
            <w:spacing w:lineRule="auto" w:line="240" w:before="60" w:after="0"/>
            <w:jc w:val="center"/>
            <w:rPr>
              <w:rFonts w:ascii="Calibri" w:hAnsi="Calibri" w:cs="Calibri"/>
              <w:lang w:val="en-US"/>
            </w:rPr>
          </w:pPr>
          <w:r>
            <w:rPr>
              <w:rFonts w:cs="Calibri"/>
              <w:lang w:val="en-US"/>
            </w:rPr>
          </w:r>
        </w:p>
      </w:tc>
    </w:tr>
  </w:tbl>
  <w:p>
    <w:pPr>
      <w:pStyle w:val="Header"/>
      <w:spacing w:before="240" w:after="0"/>
      <w:jc w:val="center"/>
      <w:rPr>
        <w:rFonts w:cs="Calibri"/>
        <w:b/>
        <w:b/>
        <w:bCs/>
        <w:sz w:val="24"/>
        <w:szCs w:val="24"/>
        <w:lang w:val="en-US"/>
      </w:rPr>
    </w:pPr>
    <w:r>
      <w:rPr>
        <w:rFonts w:cs="Calibri"/>
        <w:b/>
        <w:bCs/>
        <w:sz w:val="24"/>
        <w:szCs w:val="24"/>
        <w:lang w:val="en-US"/>
      </w:rPr>
      <w:t>SOFTWARE ENGINEERING LABORATORY (22IS43) TASK EXECUTION SHEET</w:t>
    </w:r>
  </w:p>
  <w:tbl>
    <w:tblPr>
      <w:tblStyle w:val="TableGrid"/>
      <w:tblW w:w="10490" w:type="dxa"/>
      <w:jc w:val="left"/>
      <w:tblInd w:w="-71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543"/>
      <w:gridCol w:w="3403"/>
      <w:gridCol w:w="3544"/>
    </w:tblGrid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Name:</w:t>
          </w:r>
          <w:r>
            <w:rPr>
              <w:b/>
              <w:bCs/>
              <w:sz w:val="20"/>
              <w:szCs w:val="20"/>
              <w:lang w:val="en-US"/>
            </w:rPr>
            <w:t>Ayush kumar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USN: </w:t>
          </w:r>
          <w:r>
            <w:rPr>
              <w:b/>
              <w:bCs/>
              <w:sz w:val="20"/>
              <w:szCs w:val="20"/>
              <w:lang w:val="en-US"/>
            </w:rPr>
            <w:t>1nt23is038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Date:</w:t>
          </w:r>
          <w:r>
            <w:rPr>
              <w:b/>
              <w:bCs/>
              <w:sz w:val="20"/>
              <w:szCs w:val="20"/>
              <w:lang w:val="en-US"/>
            </w:rPr>
            <w:t>01/04/25</w:t>
          </w:r>
        </w:p>
      </w:tc>
    </w:tr>
    <w:tr>
      <w:trPr/>
      <w:tc>
        <w:tcPr>
          <w:tcW w:w="354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 xml:space="preserve">Lab Activity # / Task #: </w:t>
          </w:r>
        </w:p>
      </w:tc>
      <w:tc>
        <w:tcPr>
          <w:tcW w:w="3403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Document name:</w:t>
          </w:r>
        </w:p>
      </w:tc>
      <w:tc>
        <w:tcPr>
          <w:tcW w:w="3544" w:type="dxa"/>
          <w:tcBorders/>
        </w:tcPr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  <w:t>Submitted details:</w:t>
          </w:r>
        </w:p>
        <w:p>
          <w:pPr>
            <w:pStyle w:val="Normal"/>
            <w:tabs>
              <w:tab w:val="clear" w:pos="720"/>
              <w:tab w:val="left" w:pos="3097" w:leader="none"/>
            </w:tabs>
            <w:spacing w:lineRule="auto" w:line="240" w:before="0" w:after="0"/>
            <w:rPr>
              <w:b/>
              <w:b/>
              <w:bCs/>
              <w:sz w:val="20"/>
              <w:szCs w:val="20"/>
              <w:lang w:val="en-US"/>
            </w:rPr>
          </w:pPr>
          <w:r>
            <w:rPr>
              <w:b/>
              <w:bCs/>
              <w:sz w:val="20"/>
              <w:szCs w:val="20"/>
              <w:lang w:val="en-US"/>
            </w:rPr>
          </w:r>
        </w:p>
      </w:tc>
    </w:tr>
  </w:tbl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b0b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0b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0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0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0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0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0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0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0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0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11b0b"/>
    <w:rPr>
      <w:rFonts w:eastAsia="" w:cs="" w:cstheme="majorBidi" w:eastAsiaTheme="majorEastAsia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11b0b"/>
    <w:rPr>
      <w:rFonts w:eastAsia="" w:cs="" w:cstheme="majorBidi" w:eastAsiaTheme="majorEastAsia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11b0b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11b0b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11b0b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11b0b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d11b0b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11b0b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11b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1b0b"/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11b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0b"/>
    <w:rPr>
      <w:b/>
      <w:bCs/>
      <w:smallCaps/>
      <w:color w:val="365F9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1b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1b0b"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11b0b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0b"/>
    <w:pPr>
      <w:spacing w:before="0" w:after="160"/>
    </w:pPr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0b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0b"/>
    <w:pPr>
      <w:spacing w:before="0" w:after="20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0b"/>
    <w:pPr>
      <w:pBdr>
        <w:top w:val="single" w:sz="4" w:space="10" w:color="365F91"/>
        <w:bottom w:val="single" w:sz="4" w:space="10" w:color="365F91"/>
      </w:pBdr>
      <w:spacing w:before="360" w:after="360"/>
      <w:ind w:left="864" w:right="864" w:hanging="0"/>
      <w:jc w:val="center"/>
    </w:pPr>
    <w:rPr>
      <w:i/>
      <w:iCs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1b0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40e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D37FF-AAB0-4FF4-AA04-6790795A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6</Pages>
  <Words>766</Words>
  <Characters>5021</Characters>
  <CharactersWithSpaces>5707</CharactersWithSpaces>
  <Paragraphs>122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2025-02-28T08:27:00Z</dcterms:created>
  <dc:creator>Balachandra A</dc:creator>
  <dc:description/>
  <dc:language>en-IN</dc:language>
  <cp:lastModifiedBy/>
  <dcterms:modified xsi:type="dcterms:W3CDTF">2025-04-01T11:40:11Z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