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</w:r>
    </w:p>
    <w:p>
      <w:pPr>
        <w:pStyle w:val="Heading1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  <w:t>Software Requirements Specification (SRS)</w:t>
      </w:r>
    </w:p>
    <w:p>
      <w:pPr>
        <w:pStyle w:val="Heading2"/>
        <w:rPr>
          <w:lang w:val="en-US"/>
        </w:rPr>
      </w:pPr>
      <w:r>
        <w:rPr/>
        <w:t>1. Introduction</w:t>
      </w:r>
    </w:p>
    <w:p>
      <w:pPr>
        <w:pStyle w:val="Heading3"/>
        <w:rPr>
          <w:lang w:val="en-US"/>
        </w:rPr>
      </w:pPr>
      <w:r>
        <w:rPr/>
        <w:t>1.1 Purpose</w:t>
      </w:r>
    </w:p>
    <w:p>
      <w:pPr>
        <w:pStyle w:val="TextBody"/>
        <w:rPr>
          <w:lang w:val="en-US"/>
        </w:rPr>
      </w:pPr>
      <w:r>
        <w:rPr/>
        <w:t>The purpose of this document is to define the software requirements for upgrading an existing e-commerce platform to support international expansion. This phase includes adding localization, international payment options, and laying the foundation for multi-language and multi-currency support.</w:t>
      </w:r>
    </w:p>
    <w:p>
      <w:pPr>
        <w:pStyle w:val="Heading3"/>
        <w:rPr>
          <w:lang w:val="en-US"/>
        </w:rPr>
      </w:pPr>
      <w:r>
        <w:rPr/>
        <w:t>1.2 Scope</w:t>
      </w:r>
    </w:p>
    <w:p>
      <w:pPr>
        <w:pStyle w:val="TextBody"/>
        <w:rPr>
          <w:lang w:val="en-US"/>
        </w:rPr>
      </w:pPr>
      <w:r>
        <w:rPr/>
        <w:t>The system to be developed is an enhancement of the current e-commerce platform. The primary objective of this phase is to implement basic localization features and support global payment gateways. Future phases will expand language support, add multi-currency transactions, and introduce region-specific regulatory compliance.</w:t>
      </w:r>
    </w:p>
    <w:p>
      <w:pPr>
        <w:pStyle w:val="Heading3"/>
        <w:rPr>
          <w:lang w:val="en-US"/>
        </w:rPr>
      </w:pPr>
      <w:r>
        <w:rPr/>
        <w:t>1.3 Definitions, Acronyms, and Abbreviations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SRS</w:t>
      </w:r>
      <w:r>
        <w:rPr/>
        <w:t>: Software Requirements Specification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i18n</w:t>
      </w:r>
      <w:r>
        <w:rPr/>
        <w:t>: Internationalization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</w:t>
      </w:r>
      <w:r>
        <w:rPr/>
        <w:t>: Functional Requirement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</w:t>
      </w:r>
      <w:r>
        <w:rPr/>
        <w:t>: Non-Functional Requirement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UI</w:t>
      </w:r>
      <w:r>
        <w:rPr/>
        <w:t>: User Interface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UX</w:t>
      </w:r>
      <w:r>
        <w:rPr/>
        <w:t>: User Experience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API</w:t>
      </w:r>
      <w:r>
        <w:rPr/>
        <w:t>: Application Programming Interface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IP</w:t>
      </w:r>
      <w:r>
        <w:rPr/>
        <w:t>: Internet Protocol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GDPR</w:t>
      </w:r>
      <w:r>
        <w:rPr/>
        <w:t>: General Data Protection Regulation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PCI-DSS</w:t>
      </w:r>
      <w:r>
        <w:rPr/>
        <w:t>: Payment Card Industry Data Security Standard</w:t>
      </w:r>
    </w:p>
    <w:p>
      <w:pPr>
        <w:pStyle w:val="Heading3"/>
        <w:rPr>
          <w:lang w:val="en-US"/>
        </w:rPr>
      </w:pPr>
      <w:r>
        <w:rPr/>
        <w:t>1.4 References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IEEE Std 830-1998: IEEE Recommended Practice for Software Requirements Specifications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Previous SRS Document (Version 2.0) for the E-commerce Platform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PayPal and Stripe API Documentation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W3C Internationalization Standards</w:t>
      </w:r>
    </w:p>
    <w:p>
      <w:pPr>
        <w:pStyle w:val="Heading3"/>
        <w:rPr>
          <w:lang w:val="en-US"/>
        </w:rPr>
      </w:pPr>
      <w:r>
        <w:rPr/>
        <w:t>1.5 Overview</w:t>
      </w:r>
    </w:p>
    <w:p>
      <w:pPr>
        <w:pStyle w:val="TextBody"/>
        <w:rPr>
          <w:lang w:val="en-US"/>
        </w:rPr>
      </w:pPr>
      <w:r>
        <w:rPr/>
        <w:t>This document provides an overview and detailed requirements of the features to be implemented for internationalization in the e-commerce platform. It includes descriptions of functional and non-functional requirements, use cases, interface definitions, and appendices.</w:t>
      </w:r>
    </w:p>
    <w:p>
      <w:pPr>
        <w:pStyle w:val="Heading2"/>
        <w:rPr>
          <w:lang w:val="en-US"/>
        </w:rPr>
      </w:pPr>
      <w:r>
        <w:rPr/>
        <w:t>2. Overall Description</w:t>
      </w:r>
    </w:p>
    <w:p>
      <w:pPr>
        <w:pStyle w:val="Heading3"/>
        <w:rPr>
          <w:lang w:val="en-US"/>
        </w:rPr>
      </w:pPr>
      <w:r>
        <w:rPr/>
        <w:t>2.1 Product Perspective</w:t>
      </w:r>
    </w:p>
    <w:p>
      <w:pPr>
        <w:pStyle w:val="TextBody"/>
        <w:rPr>
          <w:lang w:val="en-US"/>
        </w:rPr>
      </w:pPr>
      <w:r>
        <w:rPr/>
        <w:t>This enhancement builds on the existing e-commerce web application, which supports single-region transactions. The new features will enable international users to interact with the platform seamlessly, respecting regional preferences and standards.</w:t>
      </w:r>
    </w:p>
    <w:p>
      <w:pPr>
        <w:pStyle w:val="Heading3"/>
        <w:rPr>
          <w:lang w:val="en-US"/>
        </w:rPr>
      </w:pPr>
      <w:r>
        <w:rPr/>
        <w:t>2.2 Product Functions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Detect and adapt UI based on user's region and browser settings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Manual override for selecting language and currency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Region-specific formatting for dates, currencies, and numbers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International shipping calculation and address validation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Real-time currency conversion using third-party APIs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Support for multiple time zones and regional holiday calendars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Global tax computation based on user location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Payment processing via international gateways (PayPal, Stripe)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Backend admin tools for managing translations and regional settings</w:t>
      </w:r>
    </w:p>
    <w:p>
      <w:pPr>
        <w:pStyle w:val="Heading3"/>
        <w:rPr>
          <w:lang w:val="en-US"/>
        </w:rPr>
      </w:pPr>
      <w:r>
        <w:rPr/>
        <w:t>2.3 User Characteristics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Customers</w:t>
      </w:r>
      <w:r>
        <w:rPr/>
        <w:t>: Users from various countries with diverse languages, currencies, and cultural expectations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Admins</w:t>
      </w:r>
      <w:r>
        <w:rPr/>
        <w:t>: Internal staff who manage configurations, translations, and settings for each region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Support Team</w:t>
      </w:r>
      <w:r>
        <w:rPr/>
        <w:t>: Agents handling inquiries and issues related to international usage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Developers</w:t>
      </w:r>
      <w:r>
        <w:rPr/>
        <w:t>: Responsible for implementing and maintaining features</w:t>
      </w:r>
    </w:p>
    <w:p>
      <w:pPr>
        <w:pStyle w:val="Heading3"/>
        <w:rPr>
          <w:lang w:val="en-US"/>
        </w:rPr>
      </w:pPr>
      <w:r>
        <w:rPr/>
        <w:t>2.4 Constraints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Maintain compatibility with existing backend and frontend architectures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Ensure high performance under international traffic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Must comply with regulations like GDPR (Europe) and CCPA (California)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Payment providers must meet PCI-DSS compliance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Browser compatibility (Chrome, Firefox, Safari, Edge)</w:t>
      </w:r>
    </w:p>
    <w:p>
      <w:pPr>
        <w:pStyle w:val="Heading3"/>
        <w:rPr>
          <w:lang w:val="en-US"/>
        </w:rPr>
      </w:pPr>
      <w:r>
        <w:rPr/>
        <w:t>2.5 Assumptions and Dependencies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Users permit location detection via browser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International shipping partners and services are integrated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Real-time currency conversion API (e.g., Open Exchange Rates) is available and reliable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Adequate language translations are provided or sourced by stakeholders</w:t>
      </w:r>
    </w:p>
    <w:p>
      <w:pPr>
        <w:pStyle w:val="Heading2"/>
        <w:rPr>
          <w:lang w:val="en-US"/>
        </w:rPr>
      </w:pPr>
      <w:r>
        <w:rPr/>
        <w:t>3. Specific Requirements</w:t>
      </w:r>
    </w:p>
    <w:p>
      <w:pPr>
        <w:pStyle w:val="Heading3"/>
        <w:rPr>
          <w:lang w:val="en-US"/>
        </w:rPr>
      </w:pPr>
      <w:r>
        <w:rPr/>
        <w:t>3.1 Functional Requirements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FR1</w:t>
      </w:r>
      <w:r>
        <w:rPr/>
        <w:t>: Detect user location via IP and set default language and currency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FR2</w:t>
      </w:r>
      <w:r>
        <w:rPr/>
        <w:t>: Allow users to manually override default region settings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FR3</w:t>
      </w:r>
      <w:r>
        <w:rPr/>
        <w:t>: Format prices, dates, and numbers based on locale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FR4</w:t>
      </w:r>
      <w:r>
        <w:rPr/>
        <w:t>: Integrate PayPal and Stripe for international payments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FR5</w:t>
      </w:r>
      <w:r>
        <w:rPr/>
        <w:t>: Store and apply user preferences for future sessions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FR6</w:t>
      </w:r>
      <w:r>
        <w:rPr/>
        <w:t>: Support localized product descriptions and checkout flow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FR7</w:t>
      </w:r>
      <w:r>
        <w:rPr/>
        <w:t>: Admins can upload and manage translation files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FR8</w:t>
      </w:r>
      <w:r>
        <w:rPr/>
        <w:t>: Users receive region-specific promotional content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FR9</w:t>
      </w:r>
      <w:r>
        <w:rPr/>
        <w:t>: Log and report international transaction metrics for analytics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FR10</w:t>
      </w:r>
      <w:r>
        <w:rPr/>
        <w:t>: Provide customer service contact options based on user region</w:t>
      </w:r>
    </w:p>
    <w:p>
      <w:pPr>
        <w:pStyle w:val="Heading3"/>
        <w:rPr>
          <w:lang w:val="en-US"/>
        </w:rPr>
      </w:pPr>
      <w:r>
        <w:rPr/>
        <w:t>3.2 Non-functional Requirements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NFR1</w:t>
      </w:r>
      <w:r>
        <w:rPr/>
        <w:t>: Support UTF-8 encoding to handle multilingual text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NFR2</w:t>
      </w:r>
      <w:r>
        <w:rPr/>
        <w:t>: Ensure 95% of user actions respond within 2 seconds internationally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NFR3</w:t>
      </w:r>
      <w:r>
        <w:rPr/>
        <w:t>: Maintain uptime of 99.5% across all services globally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NFR4</w:t>
      </w:r>
      <w:r>
        <w:rPr/>
        <w:t>: Ensure secure HTTPS connections for all communications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NFR5</w:t>
      </w:r>
      <w:r>
        <w:rPr/>
        <w:t>: System must be scalable to handle peak load increases of 300% during holiday seasons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NFR6</w:t>
      </w:r>
      <w:r>
        <w:rPr/>
        <w:t>: The UI should maintain usability in RTL (right-to-left) languages such as Arabic</w:t>
      </w:r>
    </w:p>
    <w:p>
      <w:pPr>
        <w:pStyle w:val="Heading3"/>
        <w:rPr>
          <w:lang w:val="en-US"/>
        </w:rPr>
      </w:pPr>
      <w:r>
        <w:rPr/>
        <w:t>3.3 Interface Requirements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UI component for selecting language and currency (dropdowns, flags)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Admin dashboard modules for managing locale content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RESTful APIs for location detection, currency conversion, payment processing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Interface with translation services (e.g., Google Translate API, in-house localization)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Third-party tax and compliance systems (e.g., Avalara, TaxJar)</w:t>
      </w:r>
    </w:p>
    <w:p>
      <w:pPr>
        <w:pStyle w:val="Heading3"/>
        <w:rPr>
          <w:lang w:val="en-US"/>
        </w:rPr>
      </w:pPr>
      <w:r>
        <w:rPr/>
        <w:t>3.4 Performance Requirements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Handle 10,000 concurrent international users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Payment confirmation must occur within 5 seconds 95% of the time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Page load time must not exceed 3 seconds for 90% of international users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Daily transactions volume: support up to 100,000 orders/day</w:t>
      </w:r>
    </w:p>
    <w:p>
      <w:pPr>
        <w:pStyle w:val="Heading3"/>
        <w:rPr>
          <w:lang w:val="en-US"/>
        </w:rPr>
      </w:pPr>
      <w:r>
        <w:rPr/>
        <w:t>3.5 Design Constraints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Codebase must remain compatible with React frontend and Node.js backend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Use Tailwind CSS and existing design system components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Must accommodate accessibility standards (WCAG 2.1 AA)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Avoid hardcoding of strings; use translation keys and JSON resource files</w:t>
      </w:r>
    </w:p>
    <w:p>
      <w:pPr>
        <w:pStyle w:val="Heading2"/>
        <w:rPr>
          <w:lang w:val="en-US"/>
        </w:rPr>
      </w:pPr>
      <w:r>
        <w:rPr/>
        <w:t>4. Appendices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Glossary of internationalization terms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GDPR and PCI-DSS compliance checklist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Overview of supported currencies and languages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Stakeholder interview transcripts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Competitive benchmarking against global platforms (e.g., Amazon, AliExpress)</w:t>
      </w:r>
    </w:p>
    <w:p>
      <w:pPr>
        <w:pStyle w:val="Heading2"/>
        <w:rPr>
          <w:lang w:val="en-US"/>
        </w:rPr>
      </w:pPr>
      <w:r>
        <w:rPr/>
        <w:t>5. Index</w:t>
      </w:r>
    </w:p>
    <w:p>
      <w:pPr>
        <w:pStyle w:val="TextBody"/>
        <w:rPr>
          <w:lang w:val="en-US"/>
        </w:rPr>
      </w:pPr>
      <w:r>
        <w:rPr/>
        <w:t>(To be completed after final documentation pass)</w:t>
      </w:r>
    </w:p>
    <w:p>
      <w:pPr>
        <w:pStyle w:val="Heading2"/>
        <w:rPr>
          <w:lang w:val="en-US"/>
        </w:rPr>
      </w:pPr>
      <w:r>
        <w:rPr/>
        <w:t>6. Change Management Log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v1.0</w:t>
      </w:r>
      <w:r>
        <w:rPr/>
        <w:t xml:space="preserve"> – Initial Draft – April 8, 2025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v1.1</w:t>
      </w:r>
      <w:r>
        <w:rPr/>
        <w:t xml:space="preserve"> – Added stakeholder feedback on currency formatting – April 10, 2025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v1.2</w:t>
      </w:r>
      <w:r>
        <w:rPr/>
        <w:t xml:space="preserve"> – Included new FR for user preference storage – April 11, 2025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v1.3</w:t>
      </w:r>
      <w:r>
        <w:rPr/>
        <w:t xml:space="preserve"> – Expanded functional requirements to include tax calculation and regional promotion – April 12, 2025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v1.4</w:t>
      </w:r>
      <w:r>
        <w:rPr/>
        <w:t xml:space="preserve"> – Performance requirements and design constraints updated – April 13, 2025</w:t>
      </w:r>
    </w:p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2119" w:leader="none"/>
        </w:tabs>
        <w:spacing w:before="0" w:after="200"/>
        <w:rPr>
          <w:lang w:val="en-US"/>
        </w:rPr>
      </w:pPr>
      <w:r>
        <w:rPr>
          <w:lang w:val="en-US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284" w:top="1134" w:footer="708" w:bottom="1440" w:gutter="0"/>
      <w:pgBorders w:display="allPages" w:offsetFrom="page">
        <w:left w:val="single" w:sz="4" w:space="24" w:color="17365D"/>
        <w:bottom w:val="single" w:sz="4" w:space="24" w:color="17365D"/>
        <w:right w:val="single" w:sz="4" w:space="24" w:color="17365D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tos Display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55477516"/>
    </w:sdtPr>
    <w:sdtContent>
      <w:p>
        <w:pPr>
          <w:pStyle w:val="Footer"/>
          <w:rPr>
            <w:sz w:val="20"/>
            <w:szCs w:val="20"/>
          </w:rPr>
        </w:pPr>
        <w:r>
          <w:rPr>
            <w:sz w:val="20"/>
            <w:szCs w:val="20"/>
            <w:lang w:val="en-US"/>
          </w:rPr>
          <w:t xml:space="preserve">SE_Lab-Activity Document (Ref: </w:t>
        </w:r>
        <w:bookmarkStart w:id="1" w:name="_Hlk191643895"/>
        <w:r>
          <w:rPr>
            <w:sz w:val="18"/>
            <w:szCs w:val="18"/>
            <w:lang w:val="en-US"/>
          </w:rPr>
          <w:t>SE_Lab-Manual</w:t>
        </w:r>
        <w:bookmarkEnd w:id="1"/>
        <w:r>
          <w:rPr>
            <w:sz w:val="18"/>
            <w:szCs w:val="18"/>
            <w:lang w:val="en-US"/>
          </w:rPr>
          <w:t>_28Feb25-V_1.0</w:t>
        </w:r>
        <w:r>
          <w:rPr>
            <w:sz w:val="16"/>
            <w:szCs w:val="16"/>
            <w:lang w:val="en-US"/>
          </w:rPr>
          <w:t xml:space="preserve">d)                                             </w:t>
        </w:r>
        <w:r>
          <w:rPr>
            <w:sz w:val="20"/>
            <w:szCs w:val="20"/>
            <w:lang w:val="en-US"/>
          </w:rPr>
          <w:tab/>
          <w:t>Page</w:t>
        </w:r>
        <w:r>
          <w:rPr>
            <w:b/>
            <w:bCs/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6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6</w:t>
        </w:r>
        <w:r>
          <w:rPr>
            <w:sz w:val="20"/>
            <w:b/>
            <w:szCs w:val="20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bottomFromText="0" w:horzAnchor="margin" w:leftFromText="180" w:rightFromText="180" w:tblpX="0" w:tblpXSpec="center" w:tblpY="-1005" w:topFromText="0" w:vertAnchor="margin"/>
      <w:tblW w:w="1046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468"/>
    </w:tblGrid>
    <w:tr>
      <w:trPr>
        <w:trHeight w:val="1272" w:hRule="atLeast"/>
      </w:trPr>
      <w:tc>
        <w:tcPr>
          <w:tcW w:w="10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tbl>
          <w:tblPr>
            <w:tblW w:w="9765" w:type="dxa"/>
            <w:jc w:val="center"/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  <w:tblLook w:val="0400" w:noHBand="0" w:noVBand="1" w:firstColumn="0" w:lastRow="0" w:lastColumn="0" w:firstRow="0"/>
          </w:tblPr>
          <w:tblGrid>
            <w:gridCol w:w="1366"/>
            <w:gridCol w:w="7245"/>
            <w:gridCol w:w="1154"/>
          </w:tblGrid>
          <w:tr>
            <w:trPr>
              <w:tblHeader w:val="true"/>
              <w:trHeight w:val="807" w:hRule="atLeast"/>
              <w:cantSplit w:val="true"/>
            </w:trPr>
            <w:tc>
              <w:tcPr>
                <w:tcW w:w="136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24"/>
                    <w:szCs w:val="24"/>
                  </w:rPr>
                  <w:drawing>
                    <wp:anchor behindDoc="1" distT="0" distB="0" distL="0" distR="0" simplePos="0" locked="0" layoutInCell="1" allowOverlap="1" relativeHeight="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47625</wp:posOffset>
                      </wp:positionV>
                      <wp:extent cx="730250" cy="384175"/>
                      <wp:effectExtent l="0" t="0" r="0" b="0"/>
                      <wp:wrapNone/>
                      <wp:docPr id="1" name="Picture 4" descr="C:\Users\user\Pictures\nitteimg-foote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4" descr="C:\Users\user\Pictures\nitteimg-foote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384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45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b/>
                    <w:b/>
                    <w:smallCaps/>
                    <w:color w:val="000000"/>
                    <w:sz w:val="36"/>
                    <w:szCs w:val="36"/>
                  </w:rPr>
                </w:pPr>
                <w:r>
                  <w:rPr>
                    <w:rFonts w:eastAsia="Cambria" w:cs="Cambria" w:ascii="Aptos Display" w:hAnsi="Aptos Display"/>
                    <w:b/>
                    <w:smallCaps/>
                    <w:color w:val="000000"/>
                    <w:sz w:val="36"/>
                    <w:szCs w:val="36"/>
                  </w:rPr>
                  <w:t>Nitte Meenakshi Institute of Technology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>(AN AUTONOMOUS INSTITUTION )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APPROVED AND </w:t>
                </w:r>
                <w:r>
                  <w:rPr>
                    <w:rFonts w:eastAsia="Cambria" w:cs="Cambria" w:ascii="Aptos Display" w:hAnsi="Aptos Display"/>
                    <w:sz w:val="14"/>
                    <w:szCs w:val="14"/>
                  </w:rPr>
                  <w:t>ACCREDITED</w:t>
                </w: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 BY AICTE ,AFFILIATED TO VISVESVARAYA TECHNOLOGICAL UNIVERSITY, 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6"/>
                    <w:szCs w:val="16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6"/>
                    <w:szCs w:val="16"/>
                  </w:rPr>
                  <w:t>PB NO. 6429, YELAHANKA, BANGALORE 560-064, KARNATAKA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30"/>
                    <w:szCs w:val="30"/>
                  </w:rPr>
                </w:pPr>
                <w:r>
                  <w:rPr>
                    <w:rFonts w:eastAsia="Cambria" w:cs="Cambria" w:ascii="Aptos Display" w:hAnsi="Aptos Display"/>
                    <w:sz w:val="30"/>
                    <w:szCs w:val="30"/>
                  </w:rPr>
                  <w:t>Department of Information Science and Engineering</w:t>
                </w:r>
              </w:p>
            </w:tc>
            <w:tc>
              <w:tcPr>
                <w:tcW w:w="1154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/>
                  <w:drawing>
                    <wp:inline distT="0" distB="0" distL="0" distR="0">
                      <wp:extent cx="730250" cy="704850"/>
                      <wp:effectExtent l="0" t="0" r="0" b="0"/>
                      <wp:docPr id="2" name="Picture 3" descr="http://www.nmit.ac.in/Images/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3" descr="http://www.nmit.ac.in/Images/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Start w:id="0" w:name="_Hlk191643481"/>
                <w:bookmarkEnd w:id="0"/>
              </w:p>
            </w:tc>
          </w:tr>
        </w:tbl>
        <w:p>
          <w:pPr>
            <w:pStyle w:val="Normal"/>
            <w:spacing w:lineRule="auto" w:line="240" w:before="60" w:after="0"/>
            <w:jc w:val="center"/>
            <w:rPr>
              <w:rFonts w:ascii="Calibri" w:hAnsi="Calibri" w:cs="Calibri"/>
              <w:lang w:val="en-US"/>
            </w:rPr>
          </w:pPr>
          <w:r>
            <w:rPr>
              <w:rFonts w:cs="Calibri"/>
              <w:lang w:val="en-US"/>
            </w:rPr>
          </w:r>
        </w:p>
      </w:tc>
    </w:tr>
  </w:tbl>
  <w:p>
    <w:pPr>
      <w:pStyle w:val="Header"/>
      <w:spacing w:before="240" w:after="0"/>
      <w:jc w:val="center"/>
      <w:rPr>
        <w:rFonts w:cs="Calibri"/>
        <w:b/>
        <w:b/>
        <w:bCs/>
        <w:sz w:val="24"/>
        <w:szCs w:val="24"/>
        <w:lang w:val="en-US"/>
      </w:rPr>
    </w:pPr>
    <w:r>
      <w:rPr>
        <w:rFonts w:cs="Calibri"/>
        <w:b/>
        <w:bCs/>
        <w:sz w:val="24"/>
        <w:szCs w:val="24"/>
        <w:lang w:val="en-US"/>
      </w:rPr>
      <w:t>SOFTWARE ENGINEERING LABORATORY (22IS43) TASK EXECUTION SHEET</w:t>
    </w:r>
  </w:p>
  <w:tbl>
    <w:tblPr>
      <w:tblStyle w:val="TableGrid"/>
      <w:tblW w:w="10490" w:type="dxa"/>
      <w:jc w:val="left"/>
      <w:tblInd w:w="-71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543"/>
      <w:gridCol w:w="3403"/>
      <w:gridCol w:w="3544"/>
    </w:tblGrid>
    <w:tr>
      <w:trPr/>
      <w:tc>
        <w:tcPr>
          <w:tcW w:w="354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Name:</w:t>
          </w:r>
          <w:r>
            <w:rPr>
              <w:b/>
              <w:bCs/>
              <w:sz w:val="20"/>
              <w:szCs w:val="20"/>
              <w:lang w:val="en-US"/>
            </w:rPr>
            <w:t>AYUSH KUMAR</w:t>
          </w:r>
        </w:p>
      </w:tc>
      <w:tc>
        <w:tcPr>
          <w:tcW w:w="340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 xml:space="preserve">USN: </w:t>
          </w:r>
          <w:r>
            <w:rPr>
              <w:b/>
              <w:bCs/>
              <w:sz w:val="20"/>
              <w:szCs w:val="20"/>
              <w:lang w:val="en-US"/>
            </w:rPr>
            <w:t>1NT23IS038</w:t>
          </w:r>
        </w:p>
      </w:tc>
      <w:tc>
        <w:tcPr>
          <w:tcW w:w="3544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Date:</w:t>
          </w:r>
          <w:r>
            <w:rPr>
              <w:b/>
              <w:bCs/>
              <w:sz w:val="20"/>
              <w:szCs w:val="20"/>
              <w:lang w:val="en-US"/>
            </w:rPr>
            <w:t>08/04/24</w:t>
          </w:r>
        </w:p>
      </w:tc>
    </w:tr>
    <w:tr>
      <w:trPr/>
      <w:tc>
        <w:tcPr>
          <w:tcW w:w="354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 xml:space="preserve">Lab Activity # / Task #: </w:t>
          </w:r>
          <w:r>
            <w:rPr>
              <w:b/>
              <w:bCs/>
              <w:sz w:val="20"/>
              <w:szCs w:val="20"/>
              <w:lang w:val="en-US"/>
            </w:rPr>
            <w:t>4/04</w:t>
          </w:r>
        </w:p>
      </w:tc>
      <w:tc>
        <w:tcPr>
          <w:tcW w:w="340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Document name:</w:t>
          </w:r>
          <w:r>
            <w:rPr>
              <w:b/>
              <w:bCs/>
              <w:sz w:val="20"/>
              <w:szCs w:val="20"/>
              <w:lang w:val="en-US"/>
            </w:rPr>
            <w:t>TASK-OUTCOME</w:t>
          </w:r>
        </w:p>
      </w:tc>
      <w:tc>
        <w:tcPr>
          <w:tcW w:w="3544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Submitted details:</w:t>
          </w:r>
        </w:p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</w:r>
        </w:p>
      </w:tc>
    </w:tr>
  </w:tbl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b0b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0b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0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0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0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0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0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0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0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b0b"/>
    <w:rPr>
      <w:rFonts w:eastAsia="" w:cs="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11b0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b0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b0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b0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1b0b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11b0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11b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b0b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11b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0b"/>
    <w:rPr>
      <w:b/>
      <w:bCs/>
      <w:smallCaps/>
      <w:color w:val="365F9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1b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1b0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11b0b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0b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0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0b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0b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e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37FF-AAB0-4FF4-AA04-6790795A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6</Pages>
  <Words>945</Words>
  <Characters>5872</Characters>
  <CharactersWithSpaces>6684</CharactersWithSpaces>
  <Paragraphs>117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2025-02-28T08:27:00Z</dcterms:created>
  <dc:creator>Balachandra A</dc:creator>
  <dc:description/>
  <dc:language>en-IN</dc:language>
  <cp:lastModifiedBy/>
  <dcterms:modified xsi:type="dcterms:W3CDTF">2025-04-08T11:11:47Z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