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RAILWAY WHEEL INTELLIGENCE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D9782D"/>
          <w:sz w:val="26"/>
          <w:szCs w:val="26"/>
        </w:rPr>
        <w:t xml:space="preserve">From a Predictive Model to a Decision-Support Platform</w:t>
      </w:r>
    </w:p>
    <w:p>
      <w:pPr>
        <w:pBdr>
          <w:top w:val="single" w:color="1F3864" w:sz="8" w:space="8"/>
        </w:pBdr>
        <w:spacing w:after="200"/>
        <w:jc w:val="center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Strategic Framing Note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Gold Layer Design · Fleet &amp; Route Analytics · Decision Support</w:t>
      </w:r>
    </w:p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color w:val="A6A6A6"/>
          <w:sz w:val="20"/>
          <w:szCs w:val="20"/>
        </w:rPr>
        <w:t xml:space="preserve">July 2026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Gold layer is not the end product of this pipeline — it is a digital representation of wheel life. Framed correctly, it can answer dozens of the engineering questions that shed staff, fleet managers, and infrastructure planners ask every day, well beyond a single Remaining Useful Life (RUL) prediction.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note reframes the project from a single-model build into a Railway Wheel Intelligence Platform: a stack of decision-support modules built on a Gold layer that is organized around real engineering questions rather than raw tables.</w:t>
      </w:r>
    </w:p>
    <w:tbl>
      <w:tblPr>
        <w:tblW w:type="dxa" w:w="9350"/>
        <w:tblBorders>
          <w:top w:val="single" w:color="D9782D" w:sz="4"/>
          <w:left w:val="single" w:color="D9782D" w:sz="24"/>
          <w:bottom w:val="single" w:color="D9782D" w:sz="4"/>
          <w:right w:val="single" w:color="D9782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The core reframe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Instead of asking “Which ML model should we train?”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Start asking “What decisions does an engineer make every day that this data can improve?”</w:t>
            </w:r>
          </w:p>
        </w:tc>
      </w:tr>
    </w:tbl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The Mindset Shift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Three raw measurements, reframed as decisions: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Instead of asking</w:t>
            </w:r>
          </w:p>
        </w:tc>
        <w:tc>
          <w:tcPr>
            <w:tcW w:type="dxa" w:w="4675"/>
            <w:shd w:fill="D9782D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Start asking</w:t>
            </w:r>
          </w:p>
        </w:tc>
      </w:tr>
      <w:tr>
        <w:tc>
          <w:tcPr>
            <w:tcW w:type="dxa" w:w="4675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Diameter = 1112 mm</w:t>
            </w:r>
          </w:p>
        </w:tc>
        <w:tc>
          <w:tcPr>
            <w:tcW w:type="dxa" w:w="4675"/>
            <w:shd w:fill="FDEFE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If I don't turn this wheel today, what is the probability of unscheduled maintenance in the next 20 days?</w:t>
            </w:r>
          </w:p>
        </w:tc>
      </w:tr>
      <w:tr>
        <w:tc>
          <w:tcPr>
            <w:tcW w:type="dxa" w:w="4675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Flange wear = 3.2 mm</w:t>
            </w:r>
          </w:p>
        </w:tc>
        <w:tc>
          <w:tcPr>
            <w:tcW w:type="dxa" w:w="4675"/>
            <w:shd w:fill="FDEFE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This wheel is wearing 2.8× faster than comparable wheels under similar conditions.</w:t>
            </w:r>
          </w:p>
        </w:tc>
      </w:tr>
      <w:tr>
        <w:tc>
          <w:tcPr>
            <w:tcW w:type="dxa" w:w="4675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Wear ↑ (unexplained)</w:t>
            </w:r>
          </w:p>
        </w:tc>
        <w:tc>
          <w:tcPr>
            <w:tcW w:type="dxa" w:w="4675"/>
            <w:shd w:fill="FDEFE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42% route curvature, 27% braking frequency, 18% axle loading, 9% reprofiling depth, 4% weather.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Six Questions a Shed Engineer Actually Asks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Each question pulls the analysis one level higher — from a single wheel, to a locomotive, to a route, to a maintenance practice.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Should this wheel be turned today?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Diameter, flange thickness readings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20-day unscheduled-maintenance risk score</w:t>
            </w:r>
          </w:p>
        </w:tc>
      </w:tr>
    </w:tbl>
    <w:p>
      <w:pPr>
        <w:spacing w:after="7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Which wheel is deteriorating abnormally?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Wear measurement in isolation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Peer-normalised anomaly: wear rate vs. similar locomotives/conditions</w:t>
            </w:r>
          </w:p>
        </w:tc>
      </w:tr>
    </w:tbl>
    <w:p>
      <w:pPr>
        <w:spacing w:after="7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Why is this wheel wearing faster?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A single “wear ↑” flag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Multi-source attribution across route, braking, load, and reprofiling history</w:t>
            </w:r>
          </w:p>
        </w:tc>
      </w:tr>
    </w:tbl>
    <w:p>
      <w:pPr>
        <w:spacing w:after="7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Which locomotives are damaging wheels?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Wheel → RUL, per asset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Locomotive → Wheel Health, exposing suspension/braking effects by class</w:t>
            </w:r>
          </w:p>
        </w:tc>
      </w:tr>
    </w:tbl>
    <w:p>
      <w:pPr>
        <w:spacing w:after="7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Which routes destroy wheels?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No route-level rollup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Wear-per-km heatmap by section, e.g. Delhi–Kanpur at 1.9× network average</w:t>
            </w:r>
          </w:p>
        </w:tc>
      </w:tr>
    </w:tbl>
    <w:p>
      <w:pPr>
        <w:spacing w:after="7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50"/>
      </w:tblGrid>
      <w:tr>
        <w:tc>
          <w:tcPr>
            <w:tcW w:type="dxa" w:w="700"/>
            <w:shd w:fill="1F3864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50"/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Which maintenance practices actually work?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8C8C8C"/>
                <w:sz w:val="19"/>
                <w:szCs w:val="19"/>
              </w:rPr>
              <w:t xml:space="preserve">Raw signal:  </w:t>
            </w:r>
            <w:r>
              <w:rPr>
                <w:rFonts w:ascii="Calibri" w:cs="Calibri" w:eastAsia="Calibri" w:hAnsi="Calibri"/>
                <w:color w:val="8C8C8C"/>
                <w:sz w:val="19"/>
                <w:szCs w:val="19"/>
              </w:rPr>
              <w:t xml:space="preserve">Shed-level records kept separately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9782D"/>
                <w:sz w:val="19"/>
                <w:szCs w:val="19"/>
              </w:rPr>
              <w:t xml:space="preserve">Engineering insight:  </w:t>
            </w: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Shed A vs. Shed B wheel-life comparison (420 vs. 530 days) tied to practice differences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A5080"/>
          <w:sz w:val="24"/>
          <w:szCs w:val="24"/>
        </w:rPr>
        <w:t xml:space="preserve">Illustrative attribution: why a wheel is wearing faster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Even where these are statistical contributions rather than proven causes, they focus investigation on the right subsystem first.</w:t>
      </w:r>
    </w:p>
    <w:p>
      <w:pPr>
        <w:spacing w:after="200" w:before="160"/>
        <w:jc w:val="center"/>
      </w:pPr>
      <w:r>
        <w:drawing>
          <wp:inline distT="0" distB="0" distL="0" distR="0">
            <wp:extent cx="5486400" cy="22951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737373"/>
          <w:sz w:val="18"/>
          <w:szCs w:val="18"/>
        </w:rPr>
        <w:t xml:space="preserve">Figure 1 — Estimated contribution to accelerated wheel wear, by source</w:t>
      </w: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The Railway Wheel Intelligence Platform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deliverable widens from a single prediction into eight linked modules, each consuming the same Gold layer:</w:t>
      </w:r>
    </w:p>
    <w:p>
      <w:pPr>
        <w:spacing w:after="200" w:before="160"/>
        <w:jc w:val="center"/>
      </w:pPr>
      <w:r>
        <w:drawing>
          <wp:inline distT="0" distB="0" distL="0" distR="0">
            <wp:extent cx="1920240" cy="52395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523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737373"/>
          <w:sz w:val="18"/>
          <w:szCs w:val="18"/>
        </w:rPr>
        <w:t xml:space="preserve">Figure 2 — Platform modules, from raw health monitoring to deployed decision support</w:t>
      </w: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Redesigning the Gold Layer Around Questions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Rather than a set of generic fact tables, the Gold layer is organized as four question-oriented pillars — together they form the complete “medical history” of a wheel.</w:t>
      </w:r>
    </w:p>
    <w:p>
      <w:pPr>
        <w:spacing w:after="200" w:before="160"/>
        <w:jc w:val="center"/>
      </w:pPr>
      <w:r>
        <w:drawing>
          <wp:inline distT="0" distB="0" distL="0" distR="0">
            <wp:extent cx="594360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737373"/>
          <w:sz w:val="18"/>
          <w:szCs w:val="18"/>
        </w:rPr>
        <w:t xml:space="preserve">Figure 3 — Gold layer pillars: asset history, route/mechanical exposure, and health evolution</w:t>
      </w: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From Measurements to a Daily Decision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A5080"/>
          <w:sz w:val="24"/>
          <w:szCs w:val="24"/>
        </w:rPr>
        <w:t xml:space="preserve">Wheel Risk Score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single, explainable score an engineer can act on each morning, without interpreting dozens of raw measurements:</w:t>
      </w:r>
    </w:p>
    <w:tbl>
      <w:tblPr>
        <w:tblW w:type="dxa" w:w="9350"/>
        <w:tblBorders>
          <w:top w:val="single" w:color="1F3864" w:sz="4"/>
          <w:left w:val="single" w:color="1F3864" w:sz="2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Wheel Risk Score — 81 ·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 High flange wear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 High braking intensity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 Two emergency brake events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 Curve exposure +38%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 Maintenance overdue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A5080"/>
          <w:sz w:val="24"/>
          <w:szCs w:val="24"/>
        </w:rPr>
        <w:t xml:space="preserve">Digital Twin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Extended further, every wheel carries a continuously updated profile — current state, 30-day forecast, next reprofiling date, confidence, and the leading degradation drivers behind the recommendation. This is closer to how modern predictive-maintenance systems operate in practice.</w:t>
      </w:r>
    </w:p>
    <w:p>
      <w:r>
        <w:br w:type="page"/>
      </w: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Revised Roadmap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change is subtle but decisive: the Gold layer should be designed to answer engineering questions first, and to feed a model second.</w:t>
      </w:r>
    </w:p>
    <w:p>
      <w:pPr>
        <w:spacing w:after="200" w:before="160"/>
        <w:jc w:val="center"/>
      </w:pPr>
      <w:r>
        <w:drawing>
          <wp:inline distT="0" distB="0" distL="0" distR="0">
            <wp:extent cx="4206240" cy="56144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61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737373"/>
          <w:sz w:val="18"/>
          <w:szCs w:val="18"/>
        </w:rPr>
        <w:t xml:space="preserve">Figure 4 — From a generic ML pipeline to a question-driven, decision-support roadmap</w:t>
      </w:r>
    </w:p>
    <w:p>
      <w:pPr>
        <w:pStyle w:val="Heading1"/>
        <w:pBdr>
          <w:bottom w:val="single" w:color="1F3864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The Challenge Ahead</w:t>
      </w:r>
    </w:p>
    <w:tbl>
      <w:tblPr>
        <w:tblW w:type="dxa" w:w="9350"/>
        <w:tblBorders>
          <w:top w:val="single" w:color="D9782D" w:sz="4"/>
          <w:left w:val="single" w:color="D9782D" w:sz="24"/>
          <w:bottom w:val="single" w:color="D9782D" w:sz="4"/>
          <w:right w:val="single" w:color="D9782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Next step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Once the Bronze and Silver layers are complete, brainstorm 30–50 high-value engineering questions that CRIS, locomotive sheds, fleet managers, and maintenance planners would genuinely ask.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Gold schema and required features are derived from those questions — not the other way around.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This approach keeps the project from becoming a purely academic exercise. Every ML model becomes one component of a broader decision-support system, and every prediction stays tied to a concrete maintenance action or operational insight.</w:t>
      </w: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6A6A6"/>
        <w:sz w:val="16"/>
        <w:szCs w:val="16"/>
      </w:rPr>
      <w:t xml:space="preserve">Page </w:t>
    </w:r>
    <w:r>
      <w:rPr>
        <w:rFonts w:ascii="Calibri" w:cs="Calibri" w:eastAsia="Calibri" w:hAnsi="Calibri"/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rFonts w:ascii="Calibri" w:cs="Calibri" w:eastAsia="Calibri" w:hAnsi="Calibri"/>
        <w:color w:val="A6A6A6"/>
        <w:sz w:val="16"/>
        <w:szCs w:val="16"/>
      </w:rPr>
      <w:t xml:space="preserve">Railway Wheel Intelligence — Strategic Framing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454fe925e445a35eaafb1f02c9fd7faa1fea55.png"/><Relationship Id="rId10" Type="http://schemas.openxmlformats.org/officeDocument/2006/relationships/image" Target="media/7f998030f3fac8aabe1c2239ef82d55e88f7a391.png"/><Relationship Id="rId11" Type="http://schemas.openxmlformats.org/officeDocument/2006/relationships/image" Target="media/3b7baf9845f28a7dcbdcaabcbe7f475b39ad687a.png"/><Relationship Id="rId12" Type="http://schemas.openxmlformats.org/officeDocument/2006/relationships/image" Target="media/d5539b1944f91fc74a271a9ee4a87d0df9da47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2026-07-24T12:22:08.021Z</dcterms:created>
  <dcterms:modified xsi:type="dcterms:W3CDTF">2026-07-24T12:22:08.050Z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