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535" w14:textId="77777777" w:rsidR="00F46B83" w:rsidRPr="00F46B83" w:rsidRDefault="00F46B83" w:rsidP="00F46B83">
      <w:pPr>
        <w:rPr>
          <w:b/>
          <w:bCs/>
        </w:rPr>
      </w:pPr>
      <w:r w:rsidRPr="00F46B83">
        <w:rPr>
          <w:b/>
          <w:bCs/>
        </w:rPr>
        <w:t>Research Paper 2: Business Email Compromise (BEC) Fraud</w:t>
      </w:r>
    </w:p>
    <w:p w14:paraId="7C79B38C" w14:textId="77777777" w:rsidR="00F46B83" w:rsidRPr="00F46B83" w:rsidRDefault="00F46B83" w:rsidP="00F46B83">
      <w:pPr>
        <w:rPr>
          <w:b/>
          <w:bCs/>
        </w:rPr>
      </w:pPr>
      <w:r w:rsidRPr="00F46B83">
        <w:rPr>
          <w:b/>
          <w:bCs/>
        </w:rPr>
        <w:t>1. Title: Deconstructing Deception: An Analysis of Business Email Compromise (BEC) Fraud Mechanisms and Mitigation Strategies</w:t>
      </w:r>
    </w:p>
    <w:p w14:paraId="63EA0522" w14:textId="77777777" w:rsidR="00F46B83" w:rsidRPr="00F46B83" w:rsidRDefault="00F46B83" w:rsidP="00F46B83">
      <w:pPr>
        <w:rPr>
          <w:b/>
          <w:bCs/>
        </w:rPr>
      </w:pPr>
      <w:r w:rsidRPr="00F46B83">
        <w:rPr>
          <w:b/>
          <w:bCs/>
        </w:rPr>
        <w:t>2. Abstract:</w:t>
      </w:r>
    </w:p>
    <w:p w14:paraId="23D3CC2F" w14:textId="77777777" w:rsidR="00F46B83" w:rsidRPr="00F46B83" w:rsidRDefault="00F46B83" w:rsidP="00F46B83">
      <w:r w:rsidRPr="00F46B83">
        <w:t xml:space="preserve">Business Email Compromise (BEC) represents a significant and financially devastating category of cybercrime that leverages social engineering rather than sophisticated malware. This paper </w:t>
      </w:r>
      <w:proofErr w:type="spellStart"/>
      <w:r w:rsidRPr="00F46B83">
        <w:t>analyzes</w:t>
      </w:r>
      <w:proofErr w:type="spellEnd"/>
      <w:r w:rsidRPr="00F46B83">
        <w:t xml:space="preserve"> the mechanisms behind BEC scams, focusing on the common "CEO Fraud" or "Executive Impersonation" variant. Using a qualitative analysis methodology based on a composite case study derived from law enforcement reports and cybersecurity industry data, the research dissects the typical BEC attack lifecycle: reconnaissance, impersonation via email spoofing or account compromise, exploitation of human psychology (authority, urgency, secrecy), and tricking employees into initiating unauthorized wire transfers. The study highlights how these scams exploit weaknesses in internal financial controls, lack of employee awareness, and potential gaps in technical email security. Analysis of the typical response and devastating financial impact underscores the threat BEC poses, particularly to small and medium-sized businesses. The paper concludes by outlining critical mitigation strategies, emphasizing a multi-layered approach combining robust technical controls (MFA, email authentication), stringent procedural safeguards (out-of-band verification), and continuous, targeted employee security awareness training.</w:t>
      </w:r>
    </w:p>
    <w:p w14:paraId="0F4CF0F5" w14:textId="77777777" w:rsidR="00F46B83" w:rsidRPr="00F46B83" w:rsidRDefault="00F46B83" w:rsidP="00F46B83">
      <w:pPr>
        <w:rPr>
          <w:b/>
          <w:bCs/>
        </w:rPr>
      </w:pPr>
      <w:r w:rsidRPr="00F46B83">
        <w:rPr>
          <w:b/>
          <w:bCs/>
        </w:rPr>
        <w:t>3. Introduction:</w:t>
      </w:r>
    </w:p>
    <w:p w14:paraId="15C49E3B" w14:textId="77777777" w:rsidR="00F46B83" w:rsidRPr="00F46B83" w:rsidRDefault="00F46B83" w:rsidP="00F46B83">
      <w:r w:rsidRPr="00F46B83">
        <w:t xml:space="preserve">Cyber-enabled financial fraud poses a persistent and costly threat to organizations worldwide. Among the most damaging forms is Business Email Compromise (BEC), also referred to as Email Account Compromise (EAC) when a legitimate account is accessed [1]. Unlike technically complex intrusions involving malware deployment, BEC attacks primarily rely on deception and social engineering to manipulate employees into executing fraudulent financial transactions or divulging sensitive information [2]. The FBI's Internet Crime Complaint </w:t>
      </w:r>
      <w:proofErr w:type="spellStart"/>
      <w:r w:rsidRPr="00F46B83">
        <w:t>Center</w:t>
      </w:r>
      <w:proofErr w:type="spellEnd"/>
      <w:r w:rsidRPr="00F46B83">
        <w:t xml:space="preserve"> (IC3) consistently ranks BEC scams as having the highest reported financial losses among cybercrime types, often reaching billions of dollars annually globally [1, 3]. Common variants include impersonating CEOs or executives ("CEO Fraud"), mimicking trusted vendors to change invoice payment details, or targeting HR departments for employee tax information [4]. This paper focuses on the prevalent CEO Fraud variant, using a composite case study to illustrate the typical attack chain. The objective is to </w:t>
      </w:r>
      <w:proofErr w:type="spellStart"/>
      <w:r w:rsidRPr="00F46B83">
        <w:t>analyze</w:t>
      </w:r>
      <w:proofErr w:type="spellEnd"/>
      <w:r w:rsidRPr="00F46B83">
        <w:t xml:space="preserve"> the core techniques and vulnerabilities exploited in BEC attacks and to identify effective preventative measures for organizations.</w:t>
      </w:r>
    </w:p>
    <w:p w14:paraId="32F6EBE4" w14:textId="77777777" w:rsidR="00F46B83" w:rsidRPr="00F46B83" w:rsidRDefault="00F46B83" w:rsidP="00F46B83">
      <w:pPr>
        <w:rPr>
          <w:b/>
          <w:bCs/>
        </w:rPr>
      </w:pPr>
      <w:r w:rsidRPr="00F46B83">
        <w:rPr>
          <w:b/>
          <w:bCs/>
        </w:rPr>
        <w:t>4. Literature Review:</w:t>
      </w:r>
    </w:p>
    <w:p w14:paraId="45C454FB" w14:textId="77777777" w:rsidR="00F46B83" w:rsidRPr="00F46B83" w:rsidRDefault="00F46B83" w:rsidP="00F46B83">
      <w:r w:rsidRPr="00F46B83">
        <w:t>The success of BEC fraud is rooted in principles of social engineering and exploitation of human cognitive biases. Literature on influence and persuasion highlights principles like authority (deferring to superiors), urgency (acting quickly under pressure), and scarcity or secrecy (limiting scrutiny), all commonly employed in BEC emails [5, 6]. Research into phishing tactics shows attackers' increasing sophistication in crafting believable pretexts and mimicking legitimate communications [7]. Studies on fraud victimization suggest that factors like organizational pressure, perceived legitimacy of the request, and inadequate training contribute to employees falling prey [8].</w:t>
      </w:r>
    </w:p>
    <w:p w14:paraId="17FD0225" w14:textId="77777777" w:rsidR="00F46B83" w:rsidRPr="00F46B83" w:rsidRDefault="00F46B83" w:rsidP="00F46B83">
      <w:r w:rsidRPr="00F46B83">
        <w:t xml:space="preserve">From a technical perspective, BEC attacks may involve simple email address spoofing (making an email appear to come from a legitimate sender) or actual Email Account Compromise (EAC) achieved through credential phishing or password spraying [1, 4]. Technical email security standards like </w:t>
      </w:r>
      <w:r w:rsidRPr="00F46B83">
        <w:lastRenderedPageBreak/>
        <w:t xml:space="preserve">Sender Policy Framework (SPF), DomainKeys Identified Mail (DKIM), and Domain-based Message Authentication, Reporting, and Conformance (DMARC) are designed to combat spoofing but require proper implementation and enforcement by organizations [9]. Multi-Factor Authentication (MFA) is a critical </w:t>
      </w:r>
      <w:proofErr w:type="spellStart"/>
      <w:r w:rsidRPr="00F46B83">
        <w:t>defense</w:t>
      </w:r>
      <w:proofErr w:type="spellEnd"/>
      <w:r w:rsidRPr="00F46B83">
        <w:t xml:space="preserve"> against EAC [10]. Organizational literature emphasizes the importance of strong internal controls, such as segregation of duties and mandatory verification steps for financial transactions, as procedural safeguards against fraud [11]. While technical and procedural controls are crucial, studies consistently point to the human element as the weakest link, underscoring the need for effective security awareness training specifically addressing social engineering tactics [8, 12]. This paper synthesizes these concepts by </w:t>
      </w:r>
      <w:proofErr w:type="spellStart"/>
      <w:r w:rsidRPr="00F46B83">
        <w:t>analyzing</w:t>
      </w:r>
      <w:proofErr w:type="spellEnd"/>
      <w:r w:rsidRPr="00F46B83">
        <w:t xml:space="preserve"> how attackers combine social engineering, potential technical gaps, and process weaknesses in a typical BEC scenario.</w:t>
      </w:r>
    </w:p>
    <w:p w14:paraId="6047FA90" w14:textId="77777777" w:rsidR="00F46B83" w:rsidRPr="00F46B83" w:rsidRDefault="00F46B83" w:rsidP="00F46B83">
      <w:pPr>
        <w:rPr>
          <w:b/>
          <w:bCs/>
        </w:rPr>
      </w:pPr>
      <w:r w:rsidRPr="00F46B83">
        <w:rPr>
          <w:b/>
          <w:bCs/>
        </w:rPr>
        <w:t>5. Methodology:</w:t>
      </w:r>
    </w:p>
    <w:p w14:paraId="44645E33" w14:textId="77777777" w:rsidR="00F46B83" w:rsidRPr="00F46B83" w:rsidRDefault="00F46B83" w:rsidP="00F46B83">
      <w:r w:rsidRPr="00F46B83">
        <w:t>This research utilizes a qualitative analysis approach based on a composite case study. The case study, depicting a fictional company "Innovate Solutions Inc." experiencing a CEO Fraud BEC attack, is synthesized from common patterns, tactics, and impacts reported in:</w:t>
      </w:r>
    </w:p>
    <w:p w14:paraId="597E95FB" w14:textId="77777777" w:rsidR="00F46B83" w:rsidRPr="00F46B83" w:rsidRDefault="00F46B83" w:rsidP="00F46B83">
      <w:r w:rsidRPr="00F46B83">
        <w:t>FBI IC3 annual reports and public service announcements detailing BEC typologies and statistics [1, 3].</w:t>
      </w:r>
    </w:p>
    <w:p w14:paraId="684C94A6" w14:textId="77777777" w:rsidR="00F46B83" w:rsidRPr="00F46B83" w:rsidRDefault="00F46B83" w:rsidP="00F46B83">
      <w:r w:rsidRPr="00F46B83">
        <w:t>Reports and threat analyses from cybersecurity vendors and incident response firms specializing in email security and fraud prevention [4, 7].</w:t>
      </w:r>
    </w:p>
    <w:p w14:paraId="5CEF95AB" w14:textId="77777777" w:rsidR="00F46B83" w:rsidRPr="00F46B83" w:rsidRDefault="00F46B83" w:rsidP="00F46B83">
      <w:r w:rsidRPr="00F46B83">
        <w:t>Guidance documents from financial institutions and regulatory bodies on preventing wire transfer fraud [11].</w:t>
      </w:r>
    </w:p>
    <w:p w14:paraId="6E4DBA81" w14:textId="77777777" w:rsidR="00F46B83" w:rsidRPr="00F46B83" w:rsidRDefault="00F46B83" w:rsidP="00F46B83">
      <w:r w:rsidRPr="00F46B83">
        <w:t>General cybersecurity best practice documentation regarding social engineering and internal controls [5, 9, 10].</w:t>
      </w:r>
    </w:p>
    <w:p w14:paraId="36F8CA98" w14:textId="77777777" w:rsidR="00F46B83" w:rsidRPr="00F46B83" w:rsidRDefault="00F46B83" w:rsidP="00F46B83">
      <w:pPr>
        <w:rPr>
          <w:b/>
          <w:bCs/>
        </w:rPr>
      </w:pPr>
      <w:r w:rsidRPr="00F46B83">
        <w:t xml:space="preserve">This composite method allows for a detailed illustration of a typical BEC lifecycle without disclosing confidential information from any single real victim organization. The methodology involves outlining the synthesized scenario step-by-step and </w:t>
      </w:r>
      <w:proofErr w:type="spellStart"/>
      <w:r w:rsidRPr="00F46B83">
        <w:t>analyzing</w:t>
      </w:r>
      <w:proofErr w:type="spellEnd"/>
      <w:r w:rsidRPr="00F46B83">
        <w:t xml:space="preserve"> the interaction of technical vulnerabilities, procedural gaps, and human factors based on the established patterns documented in the source materials.</w:t>
      </w:r>
    </w:p>
    <w:p w14:paraId="0180FA12" w14:textId="77777777" w:rsidR="00F46B83" w:rsidRPr="00F46B83" w:rsidRDefault="00F46B83" w:rsidP="00F46B83">
      <w:pPr>
        <w:rPr>
          <w:b/>
          <w:bCs/>
        </w:rPr>
      </w:pPr>
      <w:r w:rsidRPr="00F46B83">
        <w:rPr>
          <w:b/>
          <w:bCs/>
        </w:rPr>
        <w:t>6. Results:</w:t>
      </w:r>
    </w:p>
    <w:p w14:paraId="4C0637A4" w14:textId="77777777" w:rsidR="00F46B83" w:rsidRPr="00F46B83" w:rsidRDefault="00F46B83" w:rsidP="00F46B83">
      <w:r w:rsidRPr="00F46B83">
        <w:t>The analysis of the composite case study ("Innovate Solutions Inc.") reveals a typical BEC attack flow and its consequences:</w:t>
      </w:r>
    </w:p>
    <w:p w14:paraId="259163C6" w14:textId="77777777" w:rsidR="00F46B83" w:rsidRPr="00F46B83" w:rsidRDefault="00F46B83" w:rsidP="00F46B83">
      <w:r w:rsidRPr="00F46B83">
        <w:t>Reconnaissance: Attackers gather publicly available information about the target (executives' names/roles via website/LinkedIn, company structure). They may register a look-alike domain for spoofing or attempt to compromise an actual executive account (EAC).</w:t>
      </w:r>
    </w:p>
    <w:p w14:paraId="55AD7606" w14:textId="77777777" w:rsidR="00F46B83" w:rsidRPr="00F46B83" w:rsidRDefault="00F46B83" w:rsidP="00F46B83">
      <w:r w:rsidRPr="00F46B83">
        <w:t>Attack Execution: An email, either spoofed or from a compromised account, impersonating the CEO (Anya Sharma) is sent to the Controller (David Chen). The email uses social engineering tactics:</w:t>
      </w:r>
    </w:p>
    <w:p w14:paraId="7A95AEE0" w14:textId="77777777" w:rsidR="00F46B83" w:rsidRPr="00F46B83" w:rsidRDefault="00F46B83" w:rsidP="00F46B83">
      <w:r w:rsidRPr="00F46B83">
        <w:t>Authority: Appears to be from the CEO.</w:t>
      </w:r>
    </w:p>
    <w:p w14:paraId="5B62BA63" w14:textId="77777777" w:rsidR="00F46B83" w:rsidRPr="00F46B83" w:rsidRDefault="00F46B83" w:rsidP="00F46B83">
      <w:r w:rsidRPr="00F46B83">
        <w:t>Urgency: Requests an "immediate" wire transfer for a "confidential acquisition."</w:t>
      </w:r>
    </w:p>
    <w:p w14:paraId="75956145" w14:textId="77777777" w:rsidR="00F46B83" w:rsidRPr="00F46B83" w:rsidRDefault="00F46B83" w:rsidP="00F46B83">
      <w:r w:rsidRPr="00F46B83">
        <w:t>Secrecy: Instructs the recipient "not to discuss" the matter, hindering verification.</w:t>
      </w:r>
    </w:p>
    <w:p w14:paraId="7EC19730" w14:textId="77777777" w:rsidR="00F46B83" w:rsidRPr="00F46B83" w:rsidRDefault="00F46B83" w:rsidP="00F46B83">
      <w:r w:rsidRPr="00F46B83">
        <w:lastRenderedPageBreak/>
        <w:t>Plausibility: Provides seemingly legitimate context (acquisition) and a reason for unavailability (meetings).</w:t>
      </w:r>
    </w:p>
    <w:p w14:paraId="63D207D8" w14:textId="77777777" w:rsidR="00F46B83" w:rsidRPr="00F46B83" w:rsidRDefault="00F46B83" w:rsidP="00F46B83">
      <w:r w:rsidRPr="00F46B83">
        <w:t>Employee Action: The Controller, influenced by the social engineering tactics and potentially overlooking subtle email header discrepancies (if spoofed), bypasses standard verification procedures due to the perceived urgency and confidentiality instruction. He initiates the requested wire transfer ($85,500 in the scenario) to the attacker-controlled account.</w:t>
      </w:r>
    </w:p>
    <w:p w14:paraId="0B83C99B" w14:textId="77777777" w:rsidR="00F46B83" w:rsidRPr="00F46B83" w:rsidRDefault="00F46B83" w:rsidP="00F46B83">
      <w:r w:rsidRPr="00F46B83">
        <w:t>Discovery: The fraud is typically discovered later through reconciliation, direct conversation with the actual executive, or notification from banks.</w:t>
      </w:r>
    </w:p>
    <w:p w14:paraId="59D9F482" w14:textId="77777777" w:rsidR="00F46B83" w:rsidRPr="00F46B83" w:rsidRDefault="00F46B83" w:rsidP="00F46B83">
      <w:r w:rsidRPr="00F46B83">
        <w:t>Impact:</w:t>
      </w:r>
    </w:p>
    <w:p w14:paraId="1985F7B8" w14:textId="77777777" w:rsidR="00F46B83" w:rsidRPr="00F46B83" w:rsidRDefault="00F46B83" w:rsidP="00F46B83">
      <w:r w:rsidRPr="00F46B83">
        <w:t>Financial: Direct loss of funds transferred (recovery is difficult and rare, especially for international wires) [1].</w:t>
      </w:r>
    </w:p>
    <w:p w14:paraId="437D152D" w14:textId="77777777" w:rsidR="00F46B83" w:rsidRPr="00F46B83" w:rsidRDefault="00F46B83" w:rsidP="00F46B83">
      <w:r w:rsidRPr="00F46B83">
        <w:t>Operational: Significant time and resources diverted to investigation, reporting (e.g., to FBI IC3), and remediation.</w:t>
      </w:r>
    </w:p>
    <w:p w14:paraId="30A23631" w14:textId="77777777" w:rsidR="00F46B83" w:rsidRPr="00F46B83" w:rsidRDefault="00F46B83" w:rsidP="00F46B83">
      <w:r w:rsidRPr="00F46B83">
        <w:t>Procedural: Implementation of stricter financial controls post-incident (e.g., mandatory out-of-band verification).</w:t>
      </w:r>
    </w:p>
    <w:p w14:paraId="5A05BD48" w14:textId="77777777" w:rsidR="00F46B83" w:rsidRPr="00F46B83" w:rsidRDefault="00F46B83" w:rsidP="00F46B83">
      <w:r w:rsidRPr="00F46B83">
        <w:t>Human: Damage to employee morale, potential disciplinary actions, increased friction in legitimate processes due to heightened suspicion.</w:t>
      </w:r>
    </w:p>
    <w:p w14:paraId="293B57F0" w14:textId="77777777" w:rsidR="00F46B83" w:rsidRPr="00F46B83" w:rsidRDefault="00F46B83" w:rsidP="00F46B83">
      <w:pPr>
        <w:rPr>
          <w:b/>
          <w:bCs/>
        </w:rPr>
      </w:pPr>
      <w:r w:rsidRPr="00F46B83">
        <w:rPr>
          <w:b/>
          <w:bCs/>
        </w:rPr>
        <w:t>7. Discussion:</w:t>
      </w:r>
    </w:p>
    <w:p w14:paraId="64A9516D" w14:textId="77777777" w:rsidR="00F46B83" w:rsidRPr="00F46B83" w:rsidRDefault="00F46B83" w:rsidP="00F46B83">
      <w:r w:rsidRPr="00F46B83">
        <w:t>The Innovate Solutions composite case highlights that BEC's effectiveness hinges primarily on manipulating human psychology and exploiting procedural gaps, rather than technical prowess [2, 5]. The attackers successfully leveraged cognitive biases – the employee's ingrained deference to authority and instinct to act quickly on urgent requests from superiors [6]. The instruction for secrecy was a key element, deliberately designed to circumvent existing controls or informal checks and balances [4].</w:t>
      </w:r>
    </w:p>
    <w:p w14:paraId="4EA5A820" w14:textId="77777777" w:rsidR="00F46B83" w:rsidRPr="00F46B83" w:rsidRDefault="00F46B83" w:rsidP="00F46B83">
      <w:r w:rsidRPr="00F46B83">
        <w:t>The incident exposes critical vulnerabilities common in many organizations:</w:t>
      </w:r>
    </w:p>
    <w:p w14:paraId="442FB22F" w14:textId="77777777" w:rsidR="00F46B83" w:rsidRPr="00F46B83" w:rsidRDefault="00F46B83" w:rsidP="00F46B83">
      <w:r w:rsidRPr="00F46B83">
        <w:t>Weak Internal Controls: The lack of a mandatory and enforced out-of-band verification process (e.g., a phone call to a known, trusted number or an in-person check) for wire transfer requests initiated via email is a primary failure point [11]. Relying solely on email for such sensitive instructions is inherently risky.</w:t>
      </w:r>
    </w:p>
    <w:p w14:paraId="74D397C0" w14:textId="77777777" w:rsidR="00F46B83" w:rsidRPr="00F46B83" w:rsidRDefault="00F46B83" w:rsidP="00F46B83">
      <w:r w:rsidRPr="00F46B83">
        <w:t>Inadequate Security Awareness: Employees, including those in finance, may not be sufficiently trained to recognize the specific red flags of BEC (unusual requests, pressure tactics, slight email variations) or may not feel empowered to question requests, especially from senior executives [8, 12].</w:t>
      </w:r>
    </w:p>
    <w:p w14:paraId="7471A96B" w14:textId="77777777" w:rsidR="00F46B83" w:rsidRPr="00F46B83" w:rsidRDefault="00F46B83" w:rsidP="00F46B83">
      <w:r w:rsidRPr="00F46B83">
        <w:t>Potential Technical Gaps: While not always the primary factor, technical weaknesses can contribute. If spoofing was used, inadequate implementation or enforcement of email authentication standards (SPF, DKIM, DMARC) failed to flag or block the fraudulent message [9]. If the CEO's account was compromised (EAC), the absence of MFA was likely a critical enabling factor [10].</w:t>
      </w:r>
    </w:p>
    <w:p w14:paraId="477D53B3" w14:textId="77777777" w:rsidR="00F46B83" w:rsidRPr="00F46B83" w:rsidRDefault="00F46B83" w:rsidP="00F46B83">
      <w:r w:rsidRPr="00F46B83">
        <w:t xml:space="preserve">The difficulty in recovering funds once transferred underscores the importance of prevention [1]. BEC demonstrates a high return on investment for criminals due to the relatively low technical effort required compared to the potential payout. Limitations of this analysis include the use of a </w:t>
      </w:r>
      <w:r w:rsidRPr="00F46B83">
        <w:lastRenderedPageBreak/>
        <w:t>composite case, which simplifies reality; actual incidents may involve more complex reconnaissance or variations in social engineering tactics.</w:t>
      </w:r>
    </w:p>
    <w:p w14:paraId="2E00CE2C" w14:textId="77777777" w:rsidR="00F46B83" w:rsidRPr="00F46B83" w:rsidRDefault="00F46B83" w:rsidP="00F46B83">
      <w:pPr>
        <w:rPr>
          <w:b/>
          <w:bCs/>
        </w:rPr>
      </w:pPr>
      <w:r w:rsidRPr="00F46B83">
        <w:rPr>
          <w:b/>
          <w:bCs/>
        </w:rPr>
        <w:t>8. Conclusion:</w:t>
      </w:r>
    </w:p>
    <w:p w14:paraId="6FF24725" w14:textId="77777777" w:rsidR="00F46B83" w:rsidRPr="00F46B83" w:rsidRDefault="00F46B83" w:rsidP="00F46B83">
      <w:r w:rsidRPr="00F46B83">
        <w:t xml:space="preserve">Business Email Compromise remains one of the most financially damaging cyber threats facing organizations, primarily succeeding through sophisticated social engineering that exploits human trust and procedural weaknesses. As demonstrated by the composite case study, attackers adeptly use principles of authority, urgency, and secrecy to bypass standard financial controls and trick employees into making fraudulent payments [5, 6]. Effective </w:t>
      </w:r>
      <w:proofErr w:type="spellStart"/>
      <w:r w:rsidRPr="00F46B83">
        <w:t>defense</w:t>
      </w:r>
      <w:proofErr w:type="spellEnd"/>
      <w:r w:rsidRPr="00F46B83">
        <w:t xml:space="preserve"> requires a holistic, multi-layered strategy. Technical controls like MFA [10] and robust email authentication (SPF, DKIM, DMARC) [9] are essential foundations. However, they must be complemented by rigorously enforced procedural safeguards, particularly mandatory out-of-band verification for all sensitive financial transactions initiated or modified via email [11]. Critically, continuous and engaging security awareness training that specifically addresses BEC tactics and empowers employees to question suspicious requests is paramount [12]. Organizations must foster a security culture where verification is standard practice, not an exception. Future research could explore the cross-cultural variations in BEC susceptibility and the measurable impact of different security awareness training methodologies on reducing employee compliance with fraudulent requests.</w:t>
      </w:r>
    </w:p>
    <w:p w14:paraId="3CA05C7D" w14:textId="77777777" w:rsidR="00F46B83" w:rsidRPr="00F46B83" w:rsidRDefault="00F46B83" w:rsidP="00F46B83">
      <w:pPr>
        <w:rPr>
          <w:b/>
          <w:bCs/>
        </w:rPr>
      </w:pPr>
      <w:r w:rsidRPr="00F46B83">
        <w:rPr>
          <w:b/>
          <w:bCs/>
        </w:rPr>
        <w:t>9. References:</w:t>
      </w:r>
    </w:p>
    <w:p w14:paraId="6F08FF99" w14:textId="77777777" w:rsidR="00F46B83" w:rsidRPr="00F46B83" w:rsidRDefault="00F46B83" w:rsidP="00F46B83">
      <w:r w:rsidRPr="00F46B83">
        <w:t xml:space="preserve">[1] FBI Internet Crime Complaint </w:t>
      </w:r>
      <w:proofErr w:type="spellStart"/>
      <w:r w:rsidRPr="00F46B83">
        <w:t>Center</w:t>
      </w:r>
      <w:proofErr w:type="spellEnd"/>
      <w:r w:rsidRPr="00F46B83">
        <w:t xml:space="preserve"> (IC3). (Annual Reports). Internet Crime Report. [Cite specific year, e.g., 2021 report: https://www.ic3.gov/Media/PDF/AnnualReport/2021_IC3Report.pdf]</w:t>
      </w:r>
    </w:p>
    <w:p w14:paraId="474288C4" w14:textId="77777777" w:rsidR="00F46B83" w:rsidRPr="00F46B83" w:rsidRDefault="00F46B83" w:rsidP="00F46B83">
      <w:r w:rsidRPr="00F46B83">
        <w:t xml:space="preserve">[2] Workman, M. (2008). </w:t>
      </w:r>
      <w:proofErr w:type="spellStart"/>
      <w:r w:rsidRPr="00F46B83">
        <w:t>Wisecrackers</w:t>
      </w:r>
      <w:proofErr w:type="spellEnd"/>
      <w:r w:rsidRPr="00F46B83">
        <w:t>: A theory-grounded investigation of phishing and pretext social engineering threats to information security. Journal of the American Society for Information Science and Technology, 59(4), 662-674.</w:t>
      </w:r>
    </w:p>
    <w:p w14:paraId="5E85AE87" w14:textId="77777777" w:rsidR="00F46B83" w:rsidRPr="00F46B83" w:rsidRDefault="00F46B83" w:rsidP="00F46B83">
      <w:r w:rsidRPr="00F46B83">
        <w:t>[3] CISA &amp; FBI. (2021, September 1). Alert (AA21-243A): Business Email Compromise. Cybersecurity and Infrastructure Security Agency. [Link to alert]</w:t>
      </w:r>
    </w:p>
    <w:p w14:paraId="49855D64" w14:textId="77777777" w:rsidR="00F46B83" w:rsidRPr="00F46B83" w:rsidRDefault="00F46B83" w:rsidP="00F46B83">
      <w:r w:rsidRPr="00F46B83">
        <w:t xml:space="preserve">[4] </w:t>
      </w:r>
      <w:proofErr w:type="spellStart"/>
      <w:r w:rsidRPr="00F46B83">
        <w:t>Agari</w:t>
      </w:r>
      <w:proofErr w:type="spellEnd"/>
      <w:r w:rsidRPr="00F46B83">
        <w:t xml:space="preserve"> / Abnormal Security / Proofpoint. (Various Reports). Quarterly Threat Reports / BEC Analysis. [Cite a specific report from one of these vendors discussing BEC trends]</w:t>
      </w:r>
    </w:p>
    <w:p w14:paraId="1C5C91D5" w14:textId="77777777" w:rsidR="00F46B83" w:rsidRPr="00F46B83" w:rsidRDefault="00F46B83" w:rsidP="00F46B83">
      <w:r w:rsidRPr="00F46B83">
        <w:t>[5] Cialdini, R. B. (2007). Influence: The Psychology of Persuasion. Collins Business Essentials.</w:t>
      </w:r>
    </w:p>
    <w:p w14:paraId="26535D51" w14:textId="77777777" w:rsidR="00F46B83" w:rsidRPr="00F46B83" w:rsidRDefault="00F46B83" w:rsidP="00F46B83">
      <w:r w:rsidRPr="00F46B83">
        <w:t xml:space="preserve">[6] Gragg, D. (2003). A multi-level </w:t>
      </w:r>
      <w:proofErr w:type="spellStart"/>
      <w:r w:rsidRPr="00F46B83">
        <w:t>defense</w:t>
      </w:r>
      <w:proofErr w:type="spellEnd"/>
      <w:r w:rsidRPr="00F46B83">
        <w:t xml:space="preserve"> against social engineering. SANS Institute InfoSec Reading Room. [Link to paper]</w:t>
      </w:r>
    </w:p>
    <w:p w14:paraId="672FA418" w14:textId="77777777" w:rsidR="00F46B83" w:rsidRPr="00F46B83" w:rsidRDefault="00F46B83" w:rsidP="00F46B83">
      <w:r w:rsidRPr="00F46B83">
        <w:t>[7] APWG (Anti-Phishing Working Group). (Quarterly Reports). Phishing Activity Trends Report. [Cite a relevant report]</w:t>
      </w:r>
    </w:p>
    <w:p w14:paraId="29B72B59" w14:textId="77777777" w:rsidR="00F46B83" w:rsidRPr="00F46B83" w:rsidRDefault="00F46B83" w:rsidP="00F46B83">
      <w:r w:rsidRPr="00F46B83">
        <w:t>[8] Vishwanath, A., Herath, T., Chen, R., Wang, J., &amp; Rao, H. R. (2011). Why do people get phished? Testing the mediating role of individual differences in phishing vulnerability. Decision Support Systems, 51(3), 576-586.</w:t>
      </w:r>
    </w:p>
    <w:p w14:paraId="7306CE1F" w14:textId="77777777" w:rsidR="00F46B83" w:rsidRPr="00F46B83" w:rsidRDefault="00F46B83" w:rsidP="00F46B83">
      <w:r w:rsidRPr="00F46B83">
        <w:t xml:space="preserve">[9] </w:t>
      </w:r>
      <w:proofErr w:type="spellStart"/>
      <w:r w:rsidRPr="00F46B83">
        <w:t>Valimail</w:t>
      </w:r>
      <w:proofErr w:type="spellEnd"/>
      <w:r w:rsidRPr="00F46B83">
        <w:t xml:space="preserve"> / </w:t>
      </w:r>
      <w:proofErr w:type="spellStart"/>
      <w:r w:rsidRPr="00F46B83">
        <w:t>Dmarcian</w:t>
      </w:r>
      <w:proofErr w:type="spellEnd"/>
      <w:r w:rsidRPr="00F46B83">
        <w:t xml:space="preserve"> / </w:t>
      </w:r>
      <w:proofErr w:type="spellStart"/>
      <w:r w:rsidRPr="00F46B83">
        <w:t>EasyDMARC</w:t>
      </w:r>
      <w:proofErr w:type="spellEnd"/>
      <w:r w:rsidRPr="00F46B83">
        <w:t xml:space="preserve">. (Various Resources). Guides on SPF, DKIM, DMARC implementation. [Cite a reputable guide, e.g., </w:t>
      </w:r>
      <w:proofErr w:type="spellStart"/>
      <w:r w:rsidRPr="00F46B83">
        <w:t>dmarcian's</w:t>
      </w:r>
      <w:proofErr w:type="spellEnd"/>
      <w:r w:rsidRPr="00F46B83">
        <w:t xml:space="preserve"> website resources]</w:t>
      </w:r>
    </w:p>
    <w:p w14:paraId="671E5E77" w14:textId="77777777" w:rsidR="00F46B83" w:rsidRPr="00F46B83" w:rsidRDefault="00F46B83" w:rsidP="00F46B83">
      <w:r w:rsidRPr="00F46B83">
        <w:t>[10] Microsoft / Google / Okta. (Various Resources). Best Practices for Multi-Factor Authentication. [Cite a reputable guide, e.g., from Microsoft documentation]</w:t>
      </w:r>
    </w:p>
    <w:p w14:paraId="131AE7F4" w14:textId="77777777" w:rsidR="00F46B83" w:rsidRPr="00F46B83" w:rsidRDefault="00F46B83" w:rsidP="00F46B83">
      <w:r w:rsidRPr="00F46B83">
        <w:lastRenderedPageBreak/>
        <w:t>[11] Association for Financial Professionals (AFP). (Various Guides). Payments Fraud and Control Survey / Guides. [Cite relevant AFP resource on internal controls]</w:t>
      </w:r>
    </w:p>
    <w:p w14:paraId="0A4144A0" w14:textId="77777777" w:rsidR="00F46B83" w:rsidRPr="00F46B83" w:rsidRDefault="00F46B83" w:rsidP="00F46B83">
      <w:r w:rsidRPr="00F46B83">
        <w:t xml:space="preserve">[12] </w:t>
      </w:r>
      <w:proofErr w:type="spellStart"/>
      <w:r w:rsidRPr="00F46B83">
        <w:t>Puhakainen</w:t>
      </w:r>
      <w:proofErr w:type="spellEnd"/>
      <w:r w:rsidRPr="00F46B83">
        <w:t>, P., &amp; Siponen, M. (2010). Improving employees' compliance through information systems security education: An action research study. MIS Quarterly, 34(4), 757-778.</w:t>
      </w:r>
    </w:p>
    <w:p w14:paraId="162D6CD4" w14:textId="22626622" w:rsidR="00817D6F" w:rsidRPr="00F46B83" w:rsidRDefault="00817D6F" w:rsidP="00F46B83"/>
    <w:sectPr w:rsidR="00817D6F" w:rsidRPr="00F46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31879"/>
    <w:multiLevelType w:val="multilevel"/>
    <w:tmpl w:val="06C62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F20FD"/>
    <w:multiLevelType w:val="multilevel"/>
    <w:tmpl w:val="5E9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24989"/>
    <w:multiLevelType w:val="multilevel"/>
    <w:tmpl w:val="C5805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76F73"/>
    <w:multiLevelType w:val="multilevel"/>
    <w:tmpl w:val="B5761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D4015"/>
    <w:multiLevelType w:val="multilevel"/>
    <w:tmpl w:val="63E6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36809"/>
    <w:multiLevelType w:val="multilevel"/>
    <w:tmpl w:val="BC7E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337273">
    <w:abstractNumId w:val="1"/>
  </w:num>
  <w:num w:numId="2" w16cid:durableId="330302750">
    <w:abstractNumId w:val="5"/>
  </w:num>
  <w:num w:numId="3" w16cid:durableId="1880824887">
    <w:abstractNumId w:val="0"/>
  </w:num>
  <w:num w:numId="4" w16cid:durableId="1037896449">
    <w:abstractNumId w:val="2"/>
  </w:num>
  <w:num w:numId="5" w16cid:durableId="392853537">
    <w:abstractNumId w:val="3"/>
  </w:num>
  <w:num w:numId="6" w16cid:durableId="507793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9B"/>
    <w:rsid w:val="00003984"/>
    <w:rsid w:val="003D4170"/>
    <w:rsid w:val="006C7E47"/>
    <w:rsid w:val="00817D6F"/>
    <w:rsid w:val="00956D1B"/>
    <w:rsid w:val="00AC21A8"/>
    <w:rsid w:val="00AD3594"/>
    <w:rsid w:val="00B41E9B"/>
    <w:rsid w:val="00EA6FF7"/>
    <w:rsid w:val="00EE7CE0"/>
    <w:rsid w:val="00F46B83"/>
    <w:rsid w:val="00FD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5EFF"/>
  <w15:chartTrackingRefBased/>
  <w15:docId w15:val="{C46042D6-6C97-4B66-BBBF-3DFFF09B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E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E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E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E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1E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1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E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E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E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E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1E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1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E9B"/>
    <w:rPr>
      <w:rFonts w:eastAsiaTheme="majorEastAsia" w:cstheme="majorBidi"/>
      <w:color w:val="272727" w:themeColor="text1" w:themeTint="D8"/>
    </w:rPr>
  </w:style>
  <w:style w:type="paragraph" w:styleId="Title">
    <w:name w:val="Title"/>
    <w:basedOn w:val="Normal"/>
    <w:next w:val="Normal"/>
    <w:link w:val="TitleChar"/>
    <w:uiPriority w:val="10"/>
    <w:qFormat/>
    <w:rsid w:val="00B41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E9B"/>
    <w:pPr>
      <w:spacing w:before="160"/>
      <w:jc w:val="center"/>
    </w:pPr>
    <w:rPr>
      <w:i/>
      <w:iCs/>
      <w:color w:val="404040" w:themeColor="text1" w:themeTint="BF"/>
    </w:rPr>
  </w:style>
  <w:style w:type="character" w:customStyle="1" w:styleId="QuoteChar">
    <w:name w:val="Quote Char"/>
    <w:basedOn w:val="DefaultParagraphFont"/>
    <w:link w:val="Quote"/>
    <w:uiPriority w:val="29"/>
    <w:rsid w:val="00B41E9B"/>
    <w:rPr>
      <w:i/>
      <w:iCs/>
      <w:color w:val="404040" w:themeColor="text1" w:themeTint="BF"/>
    </w:rPr>
  </w:style>
  <w:style w:type="paragraph" w:styleId="ListParagraph">
    <w:name w:val="List Paragraph"/>
    <w:basedOn w:val="Normal"/>
    <w:uiPriority w:val="34"/>
    <w:qFormat/>
    <w:rsid w:val="00B41E9B"/>
    <w:pPr>
      <w:ind w:left="720"/>
      <w:contextualSpacing/>
    </w:pPr>
  </w:style>
  <w:style w:type="character" w:styleId="IntenseEmphasis">
    <w:name w:val="Intense Emphasis"/>
    <w:basedOn w:val="DefaultParagraphFont"/>
    <w:uiPriority w:val="21"/>
    <w:qFormat/>
    <w:rsid w:val="00B41E9B"/>
    <w:rPr>
      <w:i/>
      <w:iCs/>
      <w:color w:val="2F5496" w:themeColor="accent1" w:themeShade="BF"/>
    </w:rPr>
  </w:style>
  <w:style w:type="paragraph" w:styleId="IntenseQuote">
    <w:name w:val="Intense Quote"/>
    <w:basedOn w:val="Normal"/>
    <w:next w:val="Normal"/>
    <w:link w:val="IntenseQuoteChar"/>
    <w:uiPriority w:val="30"/>
    <w:qFormat/>
    <w:rsid w:val="00B41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E9B"/>
    <w:rPr>
      <w:i/>
      <w:iCs/>
      <w:color w:val="2F5496" w:themeColor="accent1" w:themeShade="BF"/>
    </w:rPr>
  </w:style>
  <w:style w:type="character" w:styleId="IntenseReference">
    <w:name w:val="Intense Reference"/>
    <w:basedOn w:val="DefaultParagraphFont"/>
    <w:uiPriority w:val="32"/>
    <w:qFormat/>
    <w:rsid w:val="00B41E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189687">
      <w:bodyDiv w:val="1"/>
      <w:marLeft w:val="0"/>
      <w:marRight w:val="0"/>
      <w:marTop w:val="0"/>
      <w:marBottom w:val="0"/>
      <w:divBdr>
        <w:top w:val="none" w:sz="0" w:space="0" w:color="auto"/>
        <w:left w:val="none" w:sz="0" w:space="0" w:color="auto"/>
        <w:bottom w:val="none" w:sz="0" w:space="0" w:color="auto"/>
        <w:right w:val="none" w:sz="0" w:space="0" w:color="auto"/>
      </w:divBdr>
    </w:div>
    <w:div w:id="459611751">
      <w:bodyDiv w:val="1"/>
      <w:marLeft w:val="0"/>
      <w:marRight w:val="0"/>
      <w:marTop w:val="0"/>
      <w:marBottom w:val="0"/>
      <w:divBdr>
        <w:top w:val="none" w:sz="0" w:space="0" w:color="auto"/>
        <w:left w:val="none" w:sz="0" w:space="0" w:color="auto"/>
        <w:bottom w:val="none" w:sz="0" w:space="0" w:color="auto"/>
        <w:right w:val="none" w:sz="0" w:space="0" w:color="auto"/>
      </w:divBdr>
      <w:divsChild>
        <w:div w:id="756364731">
          <w:marLeft w:val="0"/>
          <w:marRight w:val="0"/>
          <w:marTop w:val="0"/>
          <w:marBottom w:val="0"/>
          <w:divBdr>
            <w:top w:val="none" w:sz="0" w:space="0" w:color="auto"/>
            <w:left w:val="none" w:sz="0" w:space="0" w:color="auto"/>
            <w:bottom w:val="none" w:sz="0" w:space="0" w:color="auto"/>
            <w:right w:val="none" w:sz="0" w:space="0" w:color="auto"/>
          </w:divBdr>
          <w:divsChild>
            <w:div w:id="10481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6614">
      <w:bodyDiv w:val="1"/>
      <w:marLeft w:val="0"/>
      <w:marRight w:val="0"/>
      <w:marTop w:val="0"/>
      <w:marBottom w:val="0"/>
      <w:divBdr>
        <w:top w:val="none" w:sz="0" w:space="0" w:color="auto"/>
        <w:left w:val="none" w:sz="0" w:space="0" w:color="auto"/>
        <w:bottom w:val="none" w:sz="0" w:space="0" w:color="auto"/>
        <w:right w:val="none" w:sz="0" w:space="0" w:color="auto"/>
      </w:divBdr>
    </w:div>
    <w:div w:id="2081710987">
      <w:bodyDiv w:val="1"/>
      <w:marLeft w:val="0"/>
      <w:marRight w:val="0"/>
      <w:marTop w:val="0"/>
      <w:marBottom w:val="0"/>
      <w:divBdr>
        <w:top w:val="none" w:sz="0" w:space="0" w:color="auto"/>
        <w:left w:val="none" w:sz="0" w:space="0" w:color="auto"/>
        <w:bottom w:val="none" w:sz="0" w:space="0" w:color="auto"/>
        <w:right w:val="none" w:sz="0" w:space="0" w:color="auto"/>
      </w:divBdr>
      <w:divsChild>
        <w:div w:id="1994797691">
          <w:marLeft w:val="0"/>
          <w:marRight w:val="0"/>
          <w:marTop w:val="0"/>
          <w:marBottom w:val="0"/>
          <w:divBdr>
            <w:top w:val="none" w:sz="0" w:space="0" w:color="auto"/>
            <w:left w:val="none" w:sz="0" w:space="0" w:color="auto"/>
            <w:bottom w:val="none" w:sz="0" w:space="0" w:color="auto"/>
            <w:right w:val="none" w:sz="0" w:space="0" w:color="auto"/>
          </w:divBdr>
          <w:divsChild>
            <w:div w:id="1970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Srivastava</dc:creator>
  <cp:keywords/>
  <dc:description/>
  <cp:lastModifiedBy>Ayush Srivastava</cp:lastModifiedBy>
  <cp:revision>4</cp:revision>
  <dcterms:created xsi:type="dcterms:W3CDTF">2025-04-02T14:23:00Z</dcterms:created>
  <dcterms:modified xsi:type="dcterms:W3CDTF">2025-04-02T17:42:00Z</dcterms:modified>
</cp:coreProperties>
</file>