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146</w:t>
      </w:r>
    </w:p>
    <w:p>
      <w:r>
        <w:t>## Section 146 of the Indian Penal Code: Rioting</w:t>
        <w:br/>
        <w:br/>
        <w:t>Section 146 of the Indian Penal Code (IPC) deals with the offense of rioting. It defines the act of being a member of an unlawful assembly that uses force or violence.  This section is a crucial part of the IPC's framework for maintaining public order and preventing outbreaks of collective violence. Understanding its nuances requires a detailed examination of its components, related sections, and judicial interpretations.</w:t>
        <w:br/>
        <w:br/>
        <w:t>**Definition and Explanation:**</w:t>
        <w:br/>
        <w:br/>
        <w:t>Section 146 of the IPC states: “Whenever force or violence is used by an unlawful assembly, every member of such assembly is guilty of the offence of rioting.”</w:t>
        <w:br/>
        <w:br/>
        <w:t>This seemingly simple definition carries significant implications.  To understand its scope fully, we need to break down its key elements:</w:t>
        <w:br/>
        <w:br/>
        <w:t>1. **Unlawful Assembly:** The foundation of rioting is the presence of an unlawful assembly. Section 141 of the IPC defines an unlawful assembly as any assembly of five or more persons with a common object of:</w:t>
        <w:br/>
        <w:t xml:space="preserve">    * Force or violence to any person or property.</w:t>
        <w:br/>
        <w:t xml:space="preserve">    * Resisting the execution of any law or legal process.</w:t>
        <w:br/>
        <w:t xml:space="preserve">    * Committing any mischief or criminal trespass, or other offence.</w:t>
        <w:br/>
        <w:t xml:space="preserve">    * By means of criminal force, or show of criminal force, compelling any person to do what he is not legally bound to do, or to omit to do what he is legally entitled to do.</w:t>
        <w:br/>
        <w:br/>
        <w:t xml:space="preserve">    Crucially, the mere presence of five or more persons does not constitute an unlawful assembly. Their common object must fall within one of the categories listed in Section 141.</w:t>
        <w:br/>
        <w:br/>
        <w:t>2. **Force or Violence:** The second essential element of rioting is the use of force or violence by the unlawful assembly.  “Force” is defined under Section 349 of the IPC as any act forbidden by law or intended to cause, or knowing it to be likely that it will cause injury, fear, or annoyance to the person to whom the force is used. “Violence” implies a greater degree of force, often involving physical harm or damage to property. The force or violence must be used by the assembly as a whole or by some members with the common object of the unlawful assembly. It is not necessary that every member personally uses force or violence.  The act of even one member can implicate others if it furthers the common object.</w:t>
        <w:br/>
        <w:br/>
        <w:t>3. **Membership of the Unlawful Assembly:**  The section holds every member of the unlawful assembly guilty of rioting. This includes individuals who may not have personally resorted to force or violence, but were present and shared the common object of the assembly.  Mere presence at the scene, however, is insufficient.  The prosecution must establish that the individual joined the unlawful assembly with the knowledge of its common object and with the intention of furthering it.  Passive spectators or bystanders who happen to be present are not liable under this section.</w:t>
        <w:br/>
        <w:br/>
        <w:t>**Distinction between Unlawful Assembly and Rioting:**</w:t>
        <w:br/>
        <w:br/>
        <w:t>It’s important to distinguish between an unlawful assembly (Section 141) and rioting (Section 146). An unlawful assembly becomes a riot when it resorts to force or violence.  The act of forming an unlawful assembly is itself an offense.  However, when that assembly uses force or violence, the offense is escalated to rioting, which carries a heavier penalty.</w:t>
        <w:br/>
        <w:br/>
        <w:t>**Common Object:**</w:t>
        <w:br/>
        <w:br/>
        <w:t>The concept of “common object” is pivotal in establishing both unlawful assembly and rioting.  The common object is the shared purpose that unites the members of the assembly.  It must be established through evidence, which can include the conduct of the assembly members, slogans raised, weapons carried, and the overall circumstances. The common object needs to be established beyond a reasonable doubt.</w:t>
        <w:br/>
        <w:br/>
        <w:t>**Participation and Constructive Liability:**</w:t>
        <w:br/>
        <w:br/>
        <w:t>The principle of constructive liability plays a significant role in rioting cases. Even if a member of the unlawful assembly does not personally use force or violence, they can be held liable for the actions of other members if it is shown that they shared the common object and their presence encouraged or facilitated the use of force or violence. This principle ensures that individuals cannot escape liability by simply remaining passive while others in the assembly commit acts of violence.</w:t>
        <w:br/>
        <w:br/>
        <w:t>**Punishment for Rioting:**</w:t>
        <w:br/>
        <w:br/>
        <w:t>Section 147 of the IPC prescribes the punishment for rioting, which is imprisonment for up to two years, or a fine, or both.  If the rioting is committed in furtherance of a common object of committing grievous hurt, the punishment is enhanced to imprisonment for up to three years and a fine.</w:t>
        <w:br/>
        <w:br/>
        <w:t>**Related Sections:**</w:t>
        <w:br/>
        <w:br/>
        <w:t>Several other sections of the IPC are related to rioting and are often invoked in conjunction with Section 146.  These include:</w:t>
        <w:br/>
        <w:br/>
        <w:t>* **Section 148:** Rioting, armed with deadly weapon.</w:t>
        <w:br/>
        <w:t>* **Section 149:** Every member of unlawful assembly guilty of offence committed in prosecution of common object.</w:t>
        <w:br/>
        <w:t>* **Section 150:** Hiring, or conniving at hiring, of persons to join unlawful assembly.</w:t>
        <w:br/>
        <w:t>* **Section 151:** Knowingly joining or continuing in assembly of five or more persons after it has been commanded to disperse.</w:t>
        <w:br/>
        <w:t>* **Section 152:** Assaulting or obstructing public servant when suppressing riot, etc.</w:t>
        <w:br/>
        <w:t>* **Section 153:** Wantonly giving provocation with intent to cause riot.</w:t>
        <w:br/>
        <w:br/>
        <w:t>These related sections address specific circumstances and aggravate the offense of rioting, resulting in more severe penalties.</w:t>
        <w:br/>
        <w:br/>
        <w:t>**Evidentiary Considerations:**</w:t>
        <w:br/>
        <w:br/>
        <w:t>Proving the offense of rioting requires strong evidence. The prosecution must establish beyond reasonable doubt the existence of an unlawful assembly, the use of force or violence, and the accused's membership in the assembly with the knowledge of its common object. This often involves eyewitness testimony, forensic evidence, and circumstantial evidence such as slogans, banners, and weapons recovered from the scene.</w:t>
        <w:br/>
        <w:br/>
        <w:t>**Judicial Interpretations:**</w:t>
        <w:br/>
        <w:br/>
        <w:t>Over the years, numerous judicial pronouncements have shaped the interpretation and application of Section 146.  Courts have clarified the meaning of key terms like “force,” “violence,” and “common object,” and have provided guidance on the evidentiary requirements for proving the offense.  These interpretations play a crucial role in ensuring that the section is applied fairly and consistently.</w:t>
        <w:br/>
        <w:br/>
        <w:t>**Conclusion:**</w:t>
        <w:br/>
        <w:br/>
        <w:t>Section 146 of the IPC is a crucial provision for maintaining public order. It addresses the serious offense of rioting, which poses a threat to peace and tranquility. The section's effectiveness lies in its comprehensive approach, encompassing not only those who directly participate in violence but also those who contribute to the collective unlawful action.  Understanding the nuances of this section, including its constituent elements, related provisions, and judicial interpretations, is vital for law enforcement agencies, legal professionals, and citizens alike.  The proper application of this law ensures accountability for those involved in riots while safeguarding the rights of individuals who may be inadvertently present at such events.  The delicate balance between maintaining public order and protecting individual liberties requires careful consideration of the specific facts and circumstances of each case, guided by the principles enshrined in the law and the interpretations provided by the judiciary.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