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147</w:t>
      </w:r>
    </w:p>
    <w:p>
      <w:r>
        <w:t>## Section 147 of the Indian Penal Code: Punishment for Rioting</w:t>
        <w:br/>
        <w:br/>
        <w:t>Section 147 of the Indian Penal Code (IPC) lays down the punishment for the offense of rioting. While Section 146 defines rioting, Section 147 prescribes the penalties for those found guilty of this offense.  Understanding this section requires a thorough examination of its provisions, the related concept of rioting, and the various judicial interpretations that have shaped its application.</w:t>
        <w:br/>
        <w:br/>
        <w:t>**Text of Section 147:**</w:t>
        <w:br/>
        <w:br/>
        <w:t>Section 147 of the IPC states: “Whoever is guilty of rioting, shall be punished with imprisonment of either description for a term which may extend to two years, or with fine, or with both.”</w:t>
        <w:br/>
        <w:br/>
        <w:t>**Deconstructing the Section:**</w:t>
        <w:br/>
        <w:br/>
        <w:t>1. **"Whoever is guilty of rioting":** This phrase directly links Section 147 to Section 146, which defines rioting.  Therefore, to be punishable under Section 147, an individual must first be found guilty of rioting as defined in Section 146.  This requires the prosecution to prove beyond reasonable doubt the existence of an unlawful assembly that used force or violence, and the accused's participation in that assembly with the knowledge of its common object.</w:t>
        <w:br/>
        <w:br/>
        <w:t>2. **"shall be punished with imprisonment of either description for a term which may extend to two years":**  This specifies the nature and maximum term of imprisonment for the offense.  "Imprisonment of either description" means the sentence can be rigorous imprisonment (involving hard labor) or simple imprisonment. The maximum term is two years, implying that the court has the discretion to impose a shorter term based on the specific facts and circumstances of the case.</w:t>
        <w:br/>
        <w:br/>
        <w:t>3. **"or with fine":**  This provision allows the court to impose a fine instead of, or in addition to, imprisonment. The amount of the fine is not specified in the section and is left to the discretion of the court.</w:t>
        <w:br/>
        <w:br/>
        <w:t>4. **"or with both":**  This clarifies that the court has the option of imposing both imprisonment and a fine.  This allows for a more flexible and nuanced approach to sentencing, taking into account the severity of the offense and the circumstances of the accused.</w:t>
        <w:br/>
        <w:br/>
        <w:t>**Enhanced Punishment:**</w:t>
        <w:br/>
        <w:br/>
        <w:t>Section 147 also provides for enhanced punishment in specific circumstances: "If the rioting be committed in prosecution of a common object, and such common object be the commission of an offence punishable with death, or imprisonment for life, or imprisonment for ten years, then whoever is guilty of rioting shall be punished with imprisonment of either description for a term which may extend to three years, and shall also be liable to fine."</w:t>
        <w:br/>
        <w:br/>
        <w:t>This provision increases the maximum term of imprisonment to three years if the rioting is committed in furtherance of a common object that constitutes a more serious offense punishable with death, life imprisonment, or imprisonment for ten years.  The inclusion of a mandatory fine reinforces the gravity of such cases.</w:t>
        <w:br/>
        <w:br/>
        <w:t>**Understanding Rioting (Section 146):**</w:t>
        <w:br/>
        <w:br/>
        <w:t>Since Section 147 deals with the punishment for rioting, it's essential to understand the definition of rioting as per Section 146.  Rioting occurs when an unlawful assembly uses force or violence.  An unlawful assembly is defined in Section 141 as an assembly of five or more persons with a common object of:</w:t>
        <w:br/>
        <w:br/>
        <w:t>* Force or violence to any person or property.</w:t>
        <w:br/>
        <w:t>* Resisting the execution of any law or legal process.</w:t>
        <w:br/>
        <w:t>* Committing any mischief or criminal trespass, or other offence.</w:t>
        <w:br/>
        <w:t>* By means of criminal force, or show of criminal force, compelling any person to do what he is not legally bound to do, or to omit to do what he is legally entitled to do.</w:t>
        <w:br/>
        <w:br/>
        <w:t>Therefore, the prosecution must prove not only the use of force or violence but also the existence of an unlawful assembly with a specific common object.</w:t>
        <w:br/>
        <w:br/>
        <w:t>**Key Elements for Conviction under Section 147:**</w:t>
        <w:br/>
        <w:br/>
        <w:t>* **Proof of Rioting under Section 146:** The foundational element is proving the occurrence of rioting as defined in Section 146.</w:t>
        <w:br/>
        <w:t>* **Membership in the Unlawful Assembly:** The prosecution must establish that the accused was a member of the unlawful assembly that engaged in rioting.  Mere presence at the scene is not sufficient; the accused must have joined the assembly with knowledge of its common object and with the intention of furthering it.</w:t>
        <w:br/>
        <w:t>* **Common Object:**  The common object of the unlawful assembly plays a crucial role.  It must be established through evidence, which can include the conduct of the assembly members, slogans raised, weapons carried, and the overall circumstances.</w:t>
        <w:br/>
        <w:t>* **Use of Force or Violence:** The prosecution must demonstrate that force or violence was used by the unlawful assembly.  The force or violence need not be used by every member; the act of even one member can implicate others if it furthers the common object.</w:t>
        <w:br/>
        <w:br/>
        <w:t>**Evidentiary Considerations:**</w:t>
        <w:br/>
        <w:br/>
        <w:t>Proving the offense of rioting requires robust evidence. This typically includes:</w:t>
        <w:br/>
        <w:br/>
        <w:t>* **Eyewitness Testimony:** Testimony from individuals who witnessed the rioting can be crucial in establishing the facts of the case.</w:t>
        <w:br/>
        <w:t>* **Documentary Evidence:**  Photographs, videos, and other documentary evidence can corroborate eyewitness testimony and provide a visual record of the events.</w:t>
        <w:br/>
        <w:t>* **Forensic Evidence:**  Forensic evidence, such as weapons recovered from the scene or medical reports of injuries sustained, can strengthen the prosecution's case.</w:t>
        <w:br/>
        <w:t>* **Circumstantial Evidence:** Slogans raised, banners displayed, and the overall context of the incident can provide valuable circumstantial evidence.</w:t>
        <w:br/>
        <w:br/>
        <w:br/>
        <w:t>**Judicial Interpretations:**</w:t>
        <w:br/>
        <w:br/>
        <w:t>Numerous judicial pronouncements have shaped the interpretation and application of Section 147.  Courts have clarified the meaning of key terms, addressed evidentiary issues, and provided guidance on sentencing.  These interpretations play a crucial role in ensuring that the section is applied fairly and consistently.</w:t>
        <w:br/>
        <w:br/>
        <w:t>**Distinction from Other Offences:**</w:t>
        <w:br/>
        <w:br/>
        <w:t>It's important to distinguish rioting from other related offenses, such as affray (Section 159) and unlawful assembly (Section 141).  Affray involves fighting in a public place that disturbs the peace, while unlawful assembly is the gathering of five or more persons with a prohibited common object.  Rioting is a more serious offense than unlawful assembly as it involves the use of force or violence.</w:t>
        <w:br/>
        <w:br/>
        <w:t>**Sentencing Considerations:**</w:t>
        <w:br/>
        <w:br/>
        <w:t>While Section 147 prescribes the maximum punishment for rioting, the actual sentence imposed by the court depends on various factors, including:</w:t>
        <w:br/>
        <w:br/>
        <w:t>* **Severity of the riot:**  The extent of violence used, the damage caused, and any injuries inflicted are considered.</w:t>
        <w:br/>
        <w:t>* **Role of the accused:**  The court assesses the individual's level of participation in the rioting.</w:t>
        <w:br/>
        <w:t>* **Presence of aggravating or mitigating factors:**  Factors such as prior criminal record, motive, and the accused's conduct during the trial can influence the sentence.</w:t>
        <w:br/>
        <w:br/>
        <w:br/>
        <w:t>**Conclusion:**</w:t>
        <w:br/>
        <w:br/>
        <w:t>Section 147 of the IPC is an essential provision for maintaining public order by prescribing punishment for the offense of rioting.  It plays a crucial role in deterring collective violence and holding individuals accountable for their participation in such acts.  The section's effectiveness lies in its tiered approach to punishment, with enhanced penalties for rioting committed in furtherance of more serious offenses.  Understanding the nuances of this section, including its linkage to Section 146, the elements required for conviction, and the relevant judicial interpretations, is vital for law enforcement agencies, legal professionals, and citizens alike.  The proper application of this law ensures accountability for those involved in riots while upholding the principles of justice and fairness.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