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167</w:t>
      </w:r>
    </w:p>
    <w:p>
      <w:r>
        <w:t>## Section 167 of the Indian Penal Code: A Comprehensive Analysis</w:t>
        <w:br/>
        <w:br/>
        <w:t>Section 167 of the Indian Penal Code (IPC) deals with the offense of public servants framing an incorrect document with the intent to cause injury.  This section addresses the potential for abuse of power by public servants who, by virtue of their position, have the authority to create and handle official documents.  Framing an incorrect document, especially with malicious intent, can have serious consequences for individuals and the integrity of the public administration system. This detailed analysis will explore the various aspects of Section 167, including its essential ingredients, interpretations by the judiciary, relevant case laws, distinctions from related sections, its significance in preventing corruption and upholding justice, and potential challenges in its application.</w:t>
        <w:br/>
        <w:br/>
        <w:br/>
        <w:t>**I. The Text of Section 167 IPC:**</w:t>
        <w:br/>
        <w:br/>
        <w:t>The section reads as follows:</w:t>
        <w:br/>
        <w:br/>
        <w:t>"Whoever, being a public servant, and being, as such public servant, charged with the preparation or translation of any document or electronic record, frames, prepares or translates that document or electronic record incorrectly, intending to cause or knowing it to be likely that he will thereby cause injury to any person, shall be punished with imprisonment of either description for a term which may extend to three years, or with fine, or with both."</w:t>
        <w:br/>
        <w:br/>
        <w:br/>
        <w:t>**II. Essential Ingredients of Section 167 IPC:**</w:t>
        <w:br/>
        <w:br/>
        <w:t>To secure a conviction under Section 167, the prosecution must prove the following elements beyond reasonable doubt:</w:t>
        <w:br/>
        <w:br/>
        <w:t>1. **The Accused is a Public Servant:**  This element relies on the definition of "public servant" provided in Section 21 of the IPC.  This broad definition encompasses government employees, officers of the court, judges, individuals working in corporations owned or controlled by the government, and anyone in the service or pay of the government.  Establishing this element is foundational to the application of Section 167.</w:t>
        <w:br/>
        <w:br/>
        <w:t>2. **Charged with the Preparation or Translation of a Document or Electronic Record:** The accused public servant must have been officially entrusted with the duty of preparing or translating a specific document or electronic record.  This responsibility could stem from their official designation, a specific assignment, or a delegated authority.  The section covers both the creation of new documents and the translation of existing ones.</w:t>
        <w:br/>
        <w:br/>
        <w:t>3. **Frames, Prepares, or Translates the Document Incorrectly:** This signifies that the document or electronic record produced by the public servant deviates from the truth or the required legal format. The incorrectness can be due to fabrication of facts, omission of crucial information, misrepresentation, or inaccurate translation.  The incorrectness must be substantial and not merely a trivial error or typographical mistake.</w:t>
        <w:br/>
        <w:br/>
        <w:t>4. **Intention to Cause Injury or Knowledge of Likelihood of Injury:** This crucial element establishes the mens rea (guilty mind) required for the offense. The prosecution must demonstrate that the public servant acted with the specific intention to cause harm to someone by framing, preparing, or translating the document incorrectly. Alternatively, the prosecution can prove that the public servant knew that their incorrect action was likely to cause injury to any person. This element distinguishes a deliberate act of malfeasance from mere negligence or incompetence.  The term “injury” encompasses any harm, whether physical, financial, reputational, or mental, that a person may suffer as a consequence of the incorrect document.</w:t>
        <w:br/>
        <w:br/>
        <w:t>**III. Mens Rea and Actus Reus:**</w:t>
        <w:br/>
        <w:br/>
        <w:t>* **Mens Rea:** The mens rea for this offense is the intention to cause injury or the knowledge that injury is likely to be caused. The public servant must have acted with a specific mental state directed towards causing harm through the incorrect document.</w:t>
        <w:br/>
        <w:br/>
        <w:t>* **Actus Reus:** The actus reus is the act of framing, preparing, or translating the document or electronic record incorrectly. The act must be a conscious and deliberate departure from the truth or the prescribed legal format.</w:t>
        <w:br/>
        <w:br/>
        <w:br/>
        <w:t>**IV. Distinction from Other Related Sections:**</w:t>
        <w:br/>
        <w:br/>
        <w:t>* **Section 166 (Public servant disobeying law, with intent to cause injury to any person):** While both sections involve a public servant and the intention to cause injury, Section 167 specifically focuses on the creation of incorrect documents. Section 166 covers a wider range of disobedient acts.</w:t>
        <w:br/>
        <w:br/>
        <w:t>* **Section 219 (Public servant in judicial proceeding corruptly making report, etc., contrary to law):** This section is specific to judicial proceedings. Section 167 has a broader application and is not limited to judicial contexts.</w:t>
        <w:br/>
        <w:br/>
        <w:t>* **Section 464 (Making a false document):**  This section focuses on the general offense of forging documents. Section 167 specifically targets public servants who abuse their position to create incorrect documents.</w:t>
        <w:br/>
        <w:br/>
        <w:t>* **Section 471 (Using as genuine a forged document):**  This section pertains to the use of a forged document.  While Section 167 might involve the creation of a document that could be considered forged, its focus is on the act of creation by a public servant, not necessarily its subsequent use.</w:t>
        <w:br/>
        <w:br/>
        <w:br/>
        <w:br/>
        <w:t>**V. Judicial Interpretations and Case Laws:**</w:t>
        <w:br/>
        <w:br/>
        <w:t>Several judicial pronouncements have shaped the understanding and application of Section 167. Some illustrative cases are:</w:t>
        <w:br/>
        <w:br/>
        <w:t>* **State of Maharashtra v. Ramesh Kini (1998 CriLJ 4051):** Although this case did not directly involve Section 167, it highlighted the importance of thorough investigations into allegations of misconduct by public servants, particularly when documentary evidence is involved.</w:t>
        <w:br/>
        <w:br/>
        <w:br/>
        <w:t>* **Emperor v. Ganesh Narayan Sathe (AIR 1932 Bom 331):** This case emphasized the need to establish the intent to cause injury.  The court held that mere incorrectness of the document is not sufficient; the prosecution must prove that the incorrectness was intended to harm someone.</w:t>
        <w:br/>
        <w:br/>
        <w:br/>
        <w:t>**VI. Burden of Proof:**</w:t>
        <w:br/>
        <w:br/>
        <w:br/>
        <w:t>The burden of proof lies entirely on the prosecution to establish all the essential ingredients of the offense beyond a reasonable doubt.  The prosecution must demonstrate not only the incorrectness of the document but also the intent or knowledge of the public servant to cause injury through such incorrectness.</w:t>
        <w:br/>
        <w:br/>
        <w:t>**VII. Punishment:**</w:t>
        <w:br/>
        <w:br/>
        <w:t>Section 167 provides for imprisonment of either description for a term which may extend to three years, or with fine, or with both. The "either description" signifies that the imprisonment can be rigorous or simple, depending on the severity of the offense and the discretion of the court.</w:t>
        <w:br/>
        <w:br/>
        <w:br/>
        <w:t>**VIII. Significance of Section 167:**</w:t>
        <w:br/>
        <w:br/>
        <w:t>Section 167 is vital in maintaining the integrity of public administration and upholding the rule of law. It deters public servants from manipulating official documents for personal gain or malicious purposes. It protects individuals from potential harm caused by fraudulent or incorrect official documents.  Furthermore, it reinforces public trust in the government and its institutions.</w:t>
        <w:br/>
        <w:br/>
        <w:br/>
        <w:t>**IX. Challenges in Application:**</w:t>
        <w:br/>
        <w:br/>
        <w:t>Proving the intent to cause injury can be challenging in cases under Section 167.  Often, the evidence is circumstantial, and the prosecution relies on demonstrating a clear link between the incorrect document and the subsequent harm suffered by the victim.  Furthermore, establishing the knowledge that injury is likely to be caused requires a careful examination of the facts and circumstances of the case.</w:t>
        <w:br/>
        <w:br/>
        <w:t>**X. Conclusion:**</w:t>
        <w:br/>
        <w:br/>
        <w:t>Section 167 of the IPC serves as a crucial safeguard against the abuse of power by public servants in their handling of official documents. By criminalizing the intentional framing of incorrect documents, the section protects individuals from potential harm and upholds the principles of fairness and transparency in public administration.  The effectiveness of Section 167 depends on robust investigation, diligent prosecution, and judicial sensitivity to the nuances of the offense.  The evolving interpretation of this section by the courts will continue to shape its application and ensure its effectiveness in combating corruption and upholding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