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320</w:t>
      </w:r>
    </w:p>
    <w:p>
      <w:r>
        <w:t>## Section 320 of the Indian Penal Code: Grievous Hurt</w:t>
        <w:br/>
        <w:br/>
        <w:t>Section 320 of the Indian Penal Code (IPC) defines "grievous hurt."  This section is crucial for distinguishing between simple hurt (defined under Section 319) and more serious forms of bodily harm that warrant harsher punishment.  Understanding the specific clauses of Section 320 and their interpretations by the judiciary is essential for navigating the complexities of offenses against the human body in the Indian legal system.  This detailed analysis will explore the various facets of Section 320, including its essential elements, judicial interpretations, relationship with other related provisions, and its practical implications.</w:t>
        <w:br/>
        <w:br/>
        <w:t>**I. The Text of Section 320:**</w:t>
        <w:br/>
        <w:br/>
        <w:t>"The following kinds of hurt only are designated as "grievous":</w:t>
        <w:br/>
        <w:br/>
        <w:t>First.— Emasculation.</w:t>
        <w:br/>
        <w:br/>
        <w:t>Secondly.— Permanent privation of the sight of either eye.</w:t>
        <w:br/>
        <w:br/>
        <w:t>Thirdly.— Permanent privation of the hearing of either ear.</w:t>
        <w:br/>
        <w:br/>
        <w:t>Fourthly.— Privation of any member or joint.</w:t>
        <w:br/>
        <w:br/>
        <w:t>Fifthly.— Destruction or permanent impairing of the powers of any member or joint.</w:t>
        <w:br/>
        <w:br/>
        <w:t>Sixthly.— Permanent disfiguration of the head or face.</w:t>
        <w:br/>
        <w:br/>
        <w:t>Seventhly.— Fracture or dislocation of a bone or tooth.</w:t>
        <w:br/>
        <w:br/>
        <w:t>Eighthly.— Any hurt which endangers life or which causes the sufferer to be during the space of twenty days in severe bodily pain, or unable to follow his ordinary pursuits."</w:t>
        <w:br/>
        <w:br/>
        <w:t>**II. Analyzing the Eight Clauses of Grievous Hurt:**</w:t>
        <w:br/>
        <w:br/>
        <w:t>1. **"Emasculation:"**  This refers to the deprivation of male reproductive organs, rendering the victim incapable of procreation.  This is considered a particularly serious form of injury due to its irreversible nature and the profound psychological impact it can have on the victim.</w:t>
        <w:br/>
        <w:br/>
        <w:t>2. **"Permanent privation of the sight of either eye:"** This clause signifies the complete and irreversible loss of vision in one or both eyes.  The permanence of the vision loss is crucial; temporary blindness does not fall under this clause.</w:t>
        <w:br/>
        <w:br/>
        <w:t>3. **"Permanent privation of the hearing of either ear:"**  Similar to the previous clause, this refers to the complete and irreversible loss of hearing in one or both ears. Temporary hearing loss or partial deafness is not considered grievous hurt under this clause.</w:t>
        <w:br/>
        <w:br/>
        <w:t>4. **"Privation of any member or joint:"**  This involves the loss or amputation of any limb or joint, such as a hand, foot, finger, or toe.  The severity of this injury depends on the specific member or joint lost and its impact on the victim's ability to perform daily activities.</w:t>
        <w:br/>
        <w:br/>
        <w:t>5. **"Destruction or permanent impairing of the powers of any member or joint:"** This clause encompasses injuries that, while not resulting in complete loss of the member or joint, render it permanently dysfunctional or significantly impair its use.  This could include nerve damage, muscle paralysis, or severe scarring that restricts movement.  The permanence of the impairment is essential for this clause to apply.</w:t>
        <w:br/>
        <w:br/>
        <w:t>6. **"Permanent disfiguration of the head or face:"** This refers to injuries that cause permanent and visible alterations to the victim's head or face, affecting their appearance significantly.  This could include deep scars, burns, or deformities that impact the victim's social interactions and self-esteem.</w:t>
        <w:br/>
        <w:br/>
        <w:t>7. **"Fracture or dislocation of a bone or tooth:"**  This clause includes any break or displacement of a bone or tooth.  While fractures and dislocations can vary in severity, any such injury is considered grievous hurt under this section.  The healing process and potential long-term complications are considered during sentencing.</w:t>
        <w:br/>
        <w:br/>
        <w:t>8. **"Any hurt which endangers life or which causes the sufferer to be during the space of twenty days in severe bodily pain, or unable to follow his ordinary pursuits:"** This clause is broader than the others and encompasses injuries that may not fit neatly into the previous categories but are still considered grievous due to their potential life-threatening nature or their significant impact on the victim's life.  This clause includes three distinct situations:</w:t>
        <w:br/>
        <w:t xml:space="preserve">    * **Endangering life:**  The injury must pose a genuine threat to the victim's life.  The assessment of this requires medical expertise and consideration of the circumstances surrounding the injury.</w:t>
        <w:br/>
        <w:t xml:space="preserve">    * **Severe bodily pain for twenty days:** The pain experienced by the victim must be severe and continuous for a period of twenty days.  Medical evidence is crucial for establishing the severity and duration of the pain.</w:t>
        <w:br/>
        <w:t xml:space="preserve">    * **Inability to follow ordinary pursuits for twenty days:** The injury must prevent the victim from engaging in their regular activities, such as work, studies, or personal care, for a period of twenty days. This considers the practical impact of the injury on the victim's life.</w:t>
        <w:br/>
        <w:br/>
        <w:br/>
        <w:t>**III. Distinguishing Grievous Hurt from Simple Hurt:**</w:t>
        <w:br/>
        <w:br/>
        <w:t>The key distinction between grievous hurt and simple hurt lies in the severity and permanence of the injury.  Simple hurt involves minor injuries causing bodily pain, disease, or infirmity, while grievous hurt involves more serious injuries with potentially long-lasting or irreversible consequences.  The specific clauses of Section 320 delineate the types of injuries that qualify as grievous hurt.</w:t>
        <w:br/>
        <w:br/>
        <w:br/>
        <w:t>**IV. Relationship with Other Sections and Distinctions:**</w:t>
        <w:br/>
        <w:br/>
        <w:t>* **Section 319 (Hurt):** Section 319 defines simple hurt, which encompasses less serious injuries than grievous hurt.</w:t>
        <w:br/>
        <w:br/>
        <w:t>* **Section 300 (Murder):** If the act causing grievous hurt results in death, the offense may be culpable homicide or murder, depending on the intention and knowledge of the accused.</w:t>
        <w:br/>
        <w:br/>
        <w:t>* **Section 304A (Causing death by negligence):** If the act causing grievous hurt results in death due to negligence, the accused may be charged under Section 304A.</w:t>
        <w:br/>
        <w:br/>
        <w:t>* **Sections 321 to 325 (Voluntarily causing hurt and grievous hurt):** These sections prescribe punishments for voluntarily causing hurt and grievous hurt, with varying degrees of severity based on the nature of the injury and the intention of the accused.</w:t>
        <w:br/>
        <w:br/>
        <w:t>* **Sections 326 to 328 (Voluntarily causing grievous hurt by dangerous weapons or means):**  These sections deal specifically with cases where grievous hurt is caused voluntarily by dangerous weapons or means, such as acid attacks or firearms.</w:t>
        <w:br/>
        <w:br/>
        <w:br/>
        <w:t>**V. Judicial Interpretations and Case Law:**</w:t>
        <w:br/>
        <w:br/>
        <w:t>Numerous judicial pronouncements have shaped the understanding and application of Section 320.  Courts have clarified the meaning of each clause and provided guidance on determining the severity and permanence of injuries. Some notable cases include:</w:t>
        <w:br/>
        <w:br/>
        <w:t>* **Moti Singh vs. State of Uttar Pradesh (1964):** This case discussed the meaning of "permanent disfiguration" and emphasized that the disfigurement must be permanent and significantly affect the victim's appearance.</w:t>
        <w:br/>
        <w:br/>
        <w:br/>
        <w:t>**VI. Practical Implications and Examples:**</w:t>
        <w:br/>
        <w:br/>
        <w:t>Understanding Section 320 is essential for various practical situations, such as:</w:t>
        <w:br/>
        <w:br/>
        <w:t>* **Assaults resulting in serious injuries:**  Assaults causing fractures, dislocations, permanent vision or hearing loss, or permanent disfigurement fall under grievous hurt.</w:t>
        <w:br/>
        <w:br/>
        <w:t>* **Acid attacks:**  Acid attacks causing permanent disfigurement or loss of function of any body part constitute grievous hurt.</w:t>
        <w:br/>
        <w:br/>
        <w:br/>
        <w:t>**VII. Conclusion:**</w:t>
        <w:br/>
        <w:br/>
        <w:t>Section 320 of the IPC defines "grievous hurt" and provides a framework for distinguishing between simple hurt and more serious forms of bodily harm.  Understanding the specific clauses of this section, along with relevant judicial interpretations and related legal provisions, is crucial for the accurate application of the law in cases involving serious bodily harm. This detailed explanation aims to provide a comprehensive understanding of Section 320 and its significance within the framework of Indian criminal law.  It is important to note that this explanation is for informational purposes only and should not be construed as legal advice.  Consulting with a legal professional is crucial for any specific legal situation.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