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335</w:t>
      </w:r>
    </w:p>
    <w:p>
      <w:r>
        <w:t>## Section 335 of the Indian Penal Code: Voluntarily causing grievous hurt on provocation</w:t>
        <w:br/>
        <w:br/>
        <w:t>Section 335 of the Indian Penal Code (IPC) addresses the specific circumstance where grievous hurt is caused voluntarily, but under the influence of grave and sudden provocation.  This section acknowledges that while causing grievous hurt is a serious offence, the culpability of the offender can be mitigated if their actions were triggered by a serious and immediate provocation. It provides a lesser punishment compared to voluntarily causing grievous hurt without such provocation, recognizing the mitigating factor of human fallibility in the face of extreme situations.  This comprehensive analysis delves into the intricacies of Section 335, exploring its elements, related provisions, and legal implications.</w:t>
        <w:br/>
        <w:br/>
        <w:br/>
        <w:t>**I. Text of Section 335:**</w:t>
        <w:br/>
        <w:br/>
        <w:t>The section reads as follows:</w:t>
        <w:br/>
        <w:br/>
        <w:t>"Whoever voluntarily causes grievous hurt on grave and sudden provocation, if he neither intends nor knows himself to be likely to cause grievous hurt to any person other than the person who gave the provocation, shall be punished with imprisonment of either description for a term which may extend to four years, or with fine which may extend to two thousand rupees, or with both."</w:t>
        <w:br/>
        <w:br/>
        <w:br/>
        <w:t>**II. Dissecting the Elements of Section 335:**</w:t>
        <w:br/>
        <w:br/>
        <w:t>To establish an offence under Section 335, the prosecution must prove the following elements beyond a reasonable doubt, while the defense can seek to establish the mitigating circumstances:</w:t>
        <w:br/>
        <w:br/>
        <w:br/>
        <w:t>1. **Voluntary causing of grievous hurt:**  The accused must have voluntarily inflicted grievous hurt upon the victim.  "Grievous hurt" is defined under Section 320 of the IPC and includes eight specific categories of injury:</w:t>
        <w:br/>
        <w:br/>
        <w:br/>
        <w:t xml:space="preserve">    a. Emasculation.</w:t>
        <w:br/>
        <w:t xml:space="preserve">    b. Permanent privation of the sight of either eye.</w:t>
        <w:br/>
        <w:t xml:space="preserve">    c. Permanent privation of the hearing of either ear.</w:t>
        <w:br/>
        <w:t xml:space="preserve">    d. Privation of any member or joint.</w:t>
        <w:br/>
        <w:t xml:space="preserve">    e. Destruction or permanent impairing of the powers of any member or joint.</w:t>
        <w:br/>
        <w:t xml:space="preserve">    f. Permanent disfiguration of the head or face.</w:t>
        <w:br/>
        <w:t xml:space="preserve">    g. Fracture or dislocation of a bone or tooth.</w:t>
        <w:br/>
        <w:t xml:space="preserve">    h. Any hurt which endangers life or which causes the sufferer to be during the space of twenty days in severe bodily pain, or unable to follow his ordinary pursuits.</w:t>
        <w:br/>
        <w:br/>
        <w:t>The infliction of grievous hurt must be a voluntary act, meaning a conscious and willed act of the accused. However, the voluntariness in this context is mitigated by the provocation.</w:t>
        <w:br/>
        <w:br/>
        <w:br/>
        <w:t>2. **Grave and sudden provocation:**  The accused must have acted under grave and sudden provocation. This involves two key components:</w:t>
        <w:br/>
        <w:br/>
        <w:br/>
        <w:t xml:space="preserve">    a. **Grave provocation:**  The provocation must be objectively serious and sufficient to deprive a reasonable person of self-control. The assessment of gravity is contextual and depends on factors such as the accused's background, circumstances, and the nature of the provocation. Mere words or gestures are generally insufficient unless they are extremely insulting or offensive within a specific cultural context.</w:t>
        <w:br/>
        <w:br/>
        <w:br/>
        <w:t xml:space="preserve">    b. **Sudden provocation:** The provocation must be immediate and unexpected, leaving the accused with little or no time to cool down and regain composure.  There must be a direct and immediate link between the provocation and the act of causing grievous hurt.  A significant time gap weakens the defense of sudden provocation.</w:t>
        <w:br/>
        <w:br/>
        <w:br/>
        <w:t>3. **Grievous hurt caused only to the provoker:** The accused must have neither intended nor known themselves to be likely to cause grievous hurt to any person other than the person who gave the provocation. If the accused intentionally or knowingly causes grievous hurt to someone other than the provoker, this section does not apply, even if there was grave and sudden provocation.</w:t>
        <w:br/>
        <w:br/>
        <w:br/>
        <w:t>**III. The Test of "Grave and Sudden Provocation":**</w:t>
        <w:br/>
        <w:br/>
        <w:t>The courts have established principles for assessing "grave and sudden" provocation:</w:t>
        <w:br/>
        <w:br/>
        <w:br/>
        <w:t>* **Objective Test:** The provocation's gravity is assessed objectively concerning a reasonable person's reaction. While the accused's subjective feelings are relevant, the primary test remains objective, considering societal norms and cultural context.</w:t>
        <w:br/>
        <w:br/>
        <w:t>* **Cultural Context:**  The court considers cultural and social norms when evaluating the gravity of the provocation.  What constitutes grave provocation can vary significantly across cultures.</w:t>
        <w:br/>
        <w:br/>
        <w:br/>
        <w:t>* **Cooling-off Period:**  A substantial time lapse between the provocation and the reaction can negate the "suddenness" requirement. The longer the cooling-off period, the weaker the defense of provocation.</w:t>
        <w:br/>
        <w:br/>
        <w:br/>
        <w:t>* **Cumulative Provocation:** A series of smaller provocations culminating in a final triggering event can sometimes be considered grave and sudden provocation, depending on the specific circumstances and their cumulative effect.</w:t>
        <w:br/>
        <w:br/>
        <w:br/>
        <w:t>* **No Right of Private Defense:** Section 335 applies specifically when the right of private defense is unavailable. If the accused's actions fall within the scope of private defense, the provisions relating to private defense apply, not Section 335.  The right of private defence justifies the use of necessary force to repel an unlawful attack.</w:t>
        <w:br/>
        <w:br/>
        <w:br/>
        <w:t>**IV. Distinguishing Section 335 from Related Offences:**</w:t>
        <w:br/>
        <w:br/>
        <w:br/>
        <w:t>Section 335 interacts with other sections of the IPC:</w:t>
        <w:br/>
        <w:br/>
        <w:t>* **Section 325 (Voluntarily causing grievous hurt):**  Section 335 is a specific form of Section 325, offering a lesser punishment due to the mitigating circumstance of grave and sudden provocation. If the provocation is deemed insufficient or not sudden, Section 325 applies.</w:t>
        <w:br/>
        <w:br/>
        <w:t>* **Section 334 (Voluntarily causing hurt on provocation):** This section mirrors Section 335 but relates to *simple hurt* caused on provocation, while Section 335 deals with *grievous hurt*. The distinction lies in the severity of the injury.</w:t>
        <w:br/>
        <w:br/>
        <w:t>* **Exceptions to Section 300 (Murder):**  Culpable homicide is not murder if the offender, while deprived of self-control by grave and sudden provocation, causes the death of the person who gave the provocation or causes the death of any other person by mistake or accident. This is a partial defense to murder, reducing the charge to culpable homicide not amounting to murder.  Section 335 deals with grievous hurt, not death.</w:t>
        <w:br/>
        <w:br/>
        <w:br/>
        <w:br/>
        <w:t>* **Right of Private Defence (Sections 96-106):**  If the accused's actions are considered within the scope of the right of private defence, those provisions will apply instead of Section 335.  The right of private defence justifies using necessary force to repel an unlawful attack.</w:t>
        <w:br/>
        <w:br/>
        <w:br/>
        <w:br/>
        <w:br/>
        <w:t>**V. Punishment under Section 335:**</w:t>
        <w:br/>
        <w:br/>
        <w:br/>
        <w:t>Section 335 provides a lesser punishment compared to Section 325: imprisonment of either description for up to four years, a fine up to two thousand rupees, or both. The court considers the specific circumstances, the severity of the grievous hurt, and the nature of the provocation when determining the appropriate punishment.</w:t>
        <w:br/>
        <w:br/>
        <w:br/>
        <w:br/>
        <w:t>**VI. Evidentiary Considerations:**</w:t>
        <w:br/>
        <w:br/>
        <w:br/>
        <w:t>In cases involving Section 335, demonstrating the existence and nature of the provocation is vital.  Relevant evidence can include:</w:t>
        <w:br/>
        <w:br/>
        <w:br/>
        <w:t>* **Testimonial evidence:**  From the accused, victim, and eyewitnesses, detailing the events leading up to the infliction of grievous hurt, the precise nature of the provocation, and the accused's immediate reaction.</w:t>
        <w:br/>
        <w:br/>
        <w:br/>
        <w:t>* **Medical evidence:**  To establish the nature and extent of the injuries, confirming they constitute grievous hurt as defined in Section 320.</w:t>
        <w:br/>
        <w:br/>
        <w:t>* **Circumstantial evidence:**  Can help determine the gravity and suddenness of the provocation and the accused's state of mind.</w:t>
        <w:br/>
        <w:br/>
        <w:br/>
        <w:t>**VII. Illustrative Examples:**</w:t>
        <w:br/>
        <w:br/>
        <w:br/>
        <w:t>* Discovering one's spouse in a compromising situation with another person, leading to a violent outburst resulting in a fracture.</w:t>
        <w:br/>
        <w:br/>
        <w:t>* A person subjected to persistent and extreme humiliation publicly reacts by inflicting a serious injury on the provoker in the heat of the moment.</w:t>
        <w:br/>
        <w:br/>
        <w:br/>
        <w:br/>
        <w:t>**VIII. Conclusion:**</w:t>
        <w:br/>
        <w:br/>
        <w:br/>
        <w:br/>
        <w:t>Section 335 of the IPC recognizes the mitigating factor of human fallibility when confronted with grave and sudden provocation.  It offers a reduced punishment for voluntarily causing grievous hurt under such circumstances, acknowledging that while the act is unlawful, the offender's culpability is diminished due to the provocation.  However, the defense of provocation is not absolute and requires careful scrutiny. The gravity and suddenness of the provocation, the cooling-off period, the accused's intent, and the nature of the resulting grievous hurt are crucial factors in determining whether Section 335 applies.  Effective application requires a nuanced understanding of human behavior and the complexities of emotional responses to extreme situations.  It is essential to balance holding individuals accountable for their actions with recognizing that human beings may not always maintain perfect self-control when faced with intense provocation. Therefore, a thorough investigation and careful assessment of all evidence are paramount to ensuring justice in such cases.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