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411</w:t>
      </w:r>
    </w:p>
    <w:p>
      <w:r>
        <w:t>## Section 411 of the Indian Penal Code: Dishonestly Receiving Stolen Property</w:t>
        <w:br/>
        <w:br/>
        <w:t>Section 411 of the Indian Penal Code (IPC) addresses the offense of dishonestly receiving or retaining stolen property.  This section recognizes that the handling of stolen goods, even without direct involvement in the initial theft, perpetuates the cycle of crime and harms victims. By criminalizing the act of receiving or retaining stolen property, Section 411 aims to disrupt the market for stolen goods and deter individuals from participating in the illicit trade. This essay provides an in-depth analysis of Section 411, exploring its essential ingredients, interpreting key terms, examining relevant case laws, and discussing its significance within the larger context of the IPC.</w:t>
        <w:br/>
        <w:br/>
        <w:t>**I. The Text of Section 411:**</w:t>
        <w:br/>
        <w:br/>
        <w:t>Section 411 of the IPC states:</w:t>
        <w:br/>
        <w:br/>
        <w:t>"Dishonestly receiving stolen property.—Whoever dishonestly receives or retains any stolen property, knowing or having reason to believe the same to be stolen property, shall be punished with imprisonment of either description for a term which may extend to three years, or with fine, or with both."</w:t>
        <w:br/>
        <w:br/>
        <w:br/>
        <w:t>**II. Essential Ingredients of Section 411:**</w:t>
        <w:br/>
        <w:br/>
        <w:t>1. **Dishonestly:** The act of receiving or retaining the property must be done dishonestly.  "Dishonestly" is defined under Section 24 of the IPC as doing anything with the intention of causing wrongful gain to one person or wrongful loss to another person.  This implies that the accused must have intended to benefit themselves or someone else, or cause loss to another, through their handling of the stolen property.  A mere innocent or unintentional possession would not suffice.</w:t>
        <w:br/>
        <w:br/>
        <w:t>2. **Receives or Retains:** The offense encompasses both receiving and retaining stolen property.</w:t>
        <w:br/>
        <w:br/>
        <w:t xml:space="preserve">    * **Receiving:** This involves acquiring possession of the stolen property from another person.  It doesn't require physical handling; constructive possession is sufficient. For example, directing the delivery of stolen goods to a specific location constitutes receiving.</w:t>
        <w:br/>
        <w:br/>
        <w:t xml:space="preserve">    * **Retaining:** This involves continuing to possess stolen property after becoming aware of its stolen nature.  Simply finding stolen property doesn't constitute an offense; it's the conscious decision to keep it after realizing it's stolen that attracts Section 411.</w:t>
        <w:br/>
        <w:br/>
        <w:t>3. **Stolen Property:** The property in question must be "stolen property" as defined under Section 410 of the IPC. This includes property obtained through theft, extortion, or robbery, as well as any property derived from or produced using such stolen property.  It is crucial to establish the chain of custody and trace the property back to the original offense.</w:t>
        <w:br/>
        <w:br/>
        <w:t>4. **Knowledge or Reason to Believe:** The accused must have known or had reason to believe that the property was stolen.  This is a subjective test that considers the accused's state of mind.  Direct knowledge is not required; circumstances that would lead a reasonable person to believe the property was stolen are sufficient.  Factors such as the price of the goods, the source from which they were obtained, and the behavior of the seller can all contribute to establishing "reason to believe."  Wilful blindness or deliberate ignorance can also be construed as "reason to believe."</w:t>
        <w:br/>
        <w:br/>
        <w:t>**III.  Interpreting Key Elements:**</w:t>
        <w:br/>
        <w:br/>
        <w:t>* **"Dishonestly":** The prosecution needs to establish the dishonest intention behind the act of receiving or retaining.  This often involves examining the circumstances surrounding the acquisition of the property, the price paid, and any subsequent attempts to conceal or dispose of the property.</w:t>
        <w:br/>
        <w:br/>
        <w:t>* **"Reason to Believe":** This is a crucial element that allows for conviction even in the absence of direct knowledge.  The test is whether a reasonable person in the accused's position, with access to the same information, would have suspected the property was stolen.  The court considers the surrounding circumstances and the accused's conduct to determine whether they had "reason to believe."</w:t>
        <w:br/>
        <w:br/>
        <w:t>* **"Stolen Property":**  Establishing the "stolen" nature of the property relies heavily on Section 410. The prosecution needs to prove that the property was originally obtained through theft, extortion, or robbery.  This might involve tracing the property back to its rightful owner and demonstrating the circumstances of the original offense.</w:t>
        <w:br/>
        <w:br/>
        <w:t>**IV.  Burden of Proof:**</w:t>
        <w:br/>
        <w:br/>
        <w:t>The burden of proving the essential ingredients of Section 411 lies with the prosecution.  They must establish beyond a reasonable doubt that the accused dishonestly received or retained stolen property, knowing or having reason to believe it was stolen.  The prosecution must present evidence linking the property to a prior theft, extortion, or robbery and demonstrating the accused's guilty knowledge.</w:t>
        <w:br/>
        <w:br/>
        <w:t>**V. Defenses:**</w:t>
        <w:br/>
        <w:br/>
        <w:t>Several defenses can be raised against a charge under Section 411:</w:t>
        <w:br/>
        <w:br/>
        <w:t>* **Lack of dishonest intention:** The accused can argue that they received or retained the property innocently, without any intention of causing wrongful gain or loss.  They might claim they were unaware of the property's stolen nature or that they intended to return it to its rightful owner.</w:t>
        <w:br/>
        <w:br/>
        <w:t>* **No knowledge or reason to believe:**  The accused can argue that they had no reason to suspect the property was stolen. They might point to the circumstances of the acquisition, the price paid, or the reputation of the seller to support their claim.</w:t>
        <w:br/>
        <w:br/>
        <w:t>* **Property not "stolen property":**  The accused can challenge the prosecution's assertion that the property was obtained through theft, extortion, or robbery.  They might argue that the original acquisition was lawful or that the chain of custody has not been properly established.</w:t>
        <w:br/>
        <w:br/>
        <w:br/>
        <w:t>**VI.  Punishment:**</w:t>
        <w:br/>
        <w:br/>
        <w:t>Section 411 prescribes a punishment of imprisonment of either description for a term which may extend to three years, or with fine, or with both.  The severity of the punishment can vary depending on the value of the stolen property and the specific circumstances of the case.</w:t>
        <w:br/>
        <w:br/>
        <w:br/>
        <w:t>**VII.  Case Laws related to Section 411:**</w:t>
        <w:br/>
        <w:br/>
        <w:t>Numerous judicial decisions have shaped the interpretation and application of Section 411.  Some key case laws include:</w:t>
        <w:br/>
        <w:br/>
        <w:t>* **State of Maharashtra v. Mubarak Ali (1990):** This case highlighted the importance of establishing "reason to believe."  The court held that mere possession of stolen property is not enough; the prosecution must prove that the accused had reason to believe it was stolen.</w:t>
        <w:br/>
        <w:br/>
        <w:t>* **S. Varadarajan v. State (1996):**  This case emphasized the requirement of "dishonesty." The court held that if the accused received the stolen property with the intention of returning it to the owner, the offense under Section 411 is not made out.</w:t>
        <w:br/>
        <w:br/>
        <w:t>* **Abdul Hamid v. State of Madhya Pradesh (2000):** This case clarified that the "reason to believe" should be based on the facts and circumstances known to the accused at the time of receiving the property.</w:t>
        <w:br/>
        <w:br/>
        <w:br/>
        <w:t>**VIII.  Section 411 and its Significance:**</w:t>
        <w:br/>
        <w:br/>
        <w:t>Section 411 plays a vital role in:</w:t>
        <w:br/>
        <w:br/>
        <w:t>* **Disrupting the market for stolen goods:** By criminalizing the handling of stolen property, it reduces the incentive for thieves to steal and makes it harder for them to profit from their crimes.</w:t>
        <w:br/>
        <w:br/>
        <w:t>* **Protecting victims of theft:**  It aids in the recovery of stolen property and helps ensure that victims are not further harmed by the circulation of their stolen goods.</w:t>
        <w:br/>
        <w:br/>
        <w:t>* **Maintaining law and order:** It contributes to a more secure and just society by discouraging participation in the illicit trade of stolen property.</w:t>
        <w:br/>
        <w:br/>
        <w:t>* **Complementing other property offenses:**  It works in conjunction with sections related to theft, extortion, and robbery to create a comprehensive legal framework for addressing property crimes.</w:t>
        <w:br/>
        <w:br/>
        <w:br/>
        <w:t>**IX. Conclusion:**</w:t>
        <w:br/>
        <w:br/>
        <w:t>Section 411 of the IPC is a crucial provision in the fight against property crime. By criminalizing the dishonest receiving or retaining of stolen property, it targets those who facilitate and profit from theft, even without direct involvement in the initial offense.  The section's effectiveness relies on the prosecution's ability to establish the essential ingredients, particularly the "dishonesty" and "reason to believe" elements.  Understanding the nuances of Section 411, its interpretation by the courts, and its significance within the broader context of the IPC is vital for law enforcement, legal professionals, and anyone concerned with combating property crime and maintaining a just and secure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