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413</w:t>
      </w:r>
    </w:p>
    <w:p>
      <w:r>
        <w:t>## Section 413 of the Indian Penal Code: Habitually Dealing in Stolen Property</w:t>
        <w:br/>
        <w:br/>
        <w:t>Section 413 of the Indian Penal Code (IPC) addresses the offense of habitually dealing in stolen property. This section recognizes that repeated involvement in the trade of stolen goods signifies a deeper commitment to criminal activity and poses a more significant threat to society than isolated instances of receiving stolen property. By criminalizing habitual dealing, Section 413 aims to target those who actively participate in and profit from the stolen property market, thereby disrupting the cycle of theft and protecting victims.  This essay provides an extensive analysis of Section 413, exploring its essential ingredients, interpreting key terms, examining relevant case laws, and discussing its significance within the broader framework of property offenses under the IPC.</w:t>
        <w:br/>
        <w:br/>
        <w:t>**I. The Text of Section 413:**</w:t>
        <w:br/>
        <w:br/>
        <w:t>Section 413 of the IPC states:</w:t>
        <w:br/>
        <w:br/>
        <w:t xml:space="preserve">"Habitually dealing in stolen property.—Whoever habitually receives or retains stolen property, knowing or having reason to believe the same to be stolen property, shall be punished with </w:t>
        <w:br/>
        <w:t>[imprisonment for life], or with imprisonment of either description for a term which may extend to ten years, and shall also be liable to fine."</w:t>
        <w:br/>
        <w:br/>
        <w:br/>
        <w:br/>
        <w:t>**II. Essential Ingredients of Section 413:**</w:t>
        <w:br/>
        <w:br/>
        <w:t>1. **Habitually:** This is the key distinguishing element of Section 413.  It signifies a pattern of conduct involving repeated instances of receiving or retaining stolen property.  The term "habitually" implies a persistent and regular involvement in the trade of stolen goods, demonstrating a settled disposition or practice.  A single act of receiving stolen property, however, significant, would not suffice for conviction under Section 413. The prosecution must establish a continuous or frequent course of conduct.</w:t>
        <w:br/>
        <w:br/>
        <w:t>2. **Receives or Retains:** Similar to Sections 411 and 412, the offense encompasses both the act of receiving stolen property from another person and the act of continuing to possess it (retaining) after becoming aware of its stolen nature.</w:t>
        <w:br/>
        <w:br/>
        <w:t xml:space="preserve">    * **Receiving:** This involves acquiring possession of stolen property. Constructive possession, where the accused exerts control over the property without physically holding it, can satisfy this requirement.</w:t>
        <w:br/>
        <w:br/>
        <w:t xml:space="preserve">    * **Retaining:** This refers to the continued possession of stolen property after becoming aware of its illicit origin.  Finding stolen property and then deliberately keeping it constitutes retention.</w:t>
        <w:br/>
        <w:br/>
        <w:t>3. **Stolen Property:** The property must be "stolen property" as defined under Section 410 of the IPC. This includes property obtained through theft, extortion, or robbery, as well as any property derived from or produced using such stolen property.  Establishing the stolen nature of the property is crucial for applying Section 413.</w:t>
        <w:br/>
        <w:br/>
        <w:t>4. **Knowledge or Reason to Believe:** The accused must have known or had reason to believe that the property was stolen. This is a subjective test focusing on the accused's state of mind.  Direct knowledge isn't necessary; circumstances that would lead a reasonable person to believe the property was stolen are sufficient.  Factors like a suspiciously low price, a dubious source, and the seller's evasive behavior can all contribute to proving "reason to believe."  Willful blindness or deliberate ignorance can also be construed as "reason to believe."</w:t>
        <w:br/>
        <w:br/>
        <w:t>**III. Interpreting "Habitually":**</w:t>
        <w:br/>
        <w:br/>
        <w:t>The term "habitually" is central to Section 413 and its interpretation has been the subject of judicial scrutiny.  While the IPC doesn't define "habitually" numerically, courts have generally held that it requires more than a single or isolated instance of receiving stolen property.  The prosecution must demonstrate a pattern of conduct suggesting a regular and continuous involvement in the trade of stolen goods.  The frequency, duration, and nature of the transactions, along with the surrounding circumstances, are considered in determining whether the accused acted "habitually."</w:t>
        <w:br/>
        <w:br/>
        <w:t>**IV.  Distinction between Section 413 and Sections 411 &amp; 412:**</w:t>
        <w:br/>
        <w:br/>
        <w:t>* **Section 411 (Dishonestly Receiving Stolen Property):**  This section deals with a single instance of receiving or retaining stolen property.  Section 413, in contrast, targets habitual offenders.</w:t>
        <w:br/>
        <w:br/>
        <w:t>* **Section 412 (Dishonestly Receiving Property Stolen in the Commission of Dacoity):** This section focuses on property stolen during dacoity.  While habitual dealing in such property would also fall under Section 413, Section 413 isn't limited to property obtained through dacoity.  It covers habitual dealing in any stolen property.</w:t>
        <w:br/>
        <w:br/>
        <w:t>The punishment under Section 413 is generally more severe than under Section 411, reflecting the greater threat posed by habitual offenders.</w:t>
        <w:br/>
        <w:br/>
        <w:t>**V. Burden of Proof:**</w:t>
        <w:br/>
        <w:br/>
        <w:t>The prosecution bears the burden of proving all essential ingredients of Section 413 beyond a reasonable doubt.  This includes establishing the "habitual" nature of the dealing, demonstrating that the property was stolen, and proving the accused's knowledge or reason to believe about the property's illicit origin.  The prosecution must present sufficient evidence of repeated instances of receiving or retaining stolen property to establish the habitual nature of the offense.</w:t>
        <w:br/>
        <w:br/>
        <w:br/>
        <w:t>**VI. Defenses:**</w:t>
        <w:br/>
        <w:br/>
        <w:t>Several defenses can be raised against a charge under Section 413:</w:t>
        <w:br/>
        <w:br/>
        <w:t>* **Lack of "habitual" dealing:** The accused can argue that their dealings in stolen property were isolated incidents and not part of a regular pattern of conduct.  They might claim they were unaware of the property's stolen nature in some instances or that they had no intention of engaging in habitual dealing.</w:t>
        <w:br/>
        <w:br/>
        <w:t>* **No knowledge or reason to believe:** The accused can claim they had no reason to suspect the property was stolen. They might point to the circumstances of the acquisition, the price paid, or the seller's reputation to support their claim.</w:t>
        <w:br/>
        <w:br/>
        <w:t>* **Property not "stolen property":** The accused can challenge the prosecution's assertion that the property was obtained through theft, extortion, or robbery.  They might argue that the original acquisition was lawful or that the chain of custody has not been properly established.</w:t>
        <w:br/>
        <w:br/>
        <w:br/>
        <w:t>**VII.  Punishment:**</w:t>
        <w:br/>
        <w:br/>
        <w:t>Section 413 prescribes a punishment of [imprisonment for life], or with imprisonment of either description for a term which may extend to ten years, and shall also be liable to fine. The severity of the punishment reflects the seriousness of habitual involvement in the trade of stolen goods.</w:t>
        <w:br/>
        <w:br/>
        <w:t>**VIII. Case Laws related to Section 413:**</w:t>
        <w:br/>
        <w:br/>
        <w:t>Several judicial decisions have shaped the interpretation and application of Section 413. These cases often revolve around the meaning of "habitually" and the evidence required to prove it.</w:t>
        <w:br/>
        <w:br/>
        <w:br/>
        <w:t>**IX. Section 413 and its Significance:**</w:t>
        <w:br/>
        <w:br/>
        <w:t>Section 413 plays a vital role in:</w:t>
        <w:br/>
        <w:br/>
        <w:t>* **Disrupting organized crime related to stolen property:** By targeting habitual offenders, it aims to dismantle criminal networks involved in the systematic trade of stolen goods.</w:t>
        <w:br/>
        <w:br/>
        <w:t>* **Protecting victims of theft:** It helps reduce the market for stolen property, thereby protecting victims from further harm and increasing the chances of property recovery.</w:t>
        <w:br/>
        <w:br/>
        <w:t>* **Deterring participation in the stolen property market:** The severe punishment under Section 413 serves as a deterrent against engaging in the habitual trade of stolen goods.</w:t>
        <w:br/>
        <w:br/>
        <w:t>* **Complementing other property offenses:**  It strengthens the overall framework of property offenses under the IPC by addressing the specific problem of habitual dealers who play a key role in perpetuating the cycle of theft.</w:t>
        <w:br/>
        <w:br/>
        <w:br/>
        <w:br/>
        <w:t>**X. Conclusion:**</w:t>
        <w:br/>
        <w:br/>
        <w:t>Section 413 of the IPC is a crucial provision in combating the organized trade of stolen property.  By targeting habitual offenders, it addresses a significant challenge in preventing property crime and protecting victims.  The section's effectiveness depends on the prosecution's ability to demonstrate the habitual nature of the dealing and prove the accused's knowledge or reason to believe about the stolen nature of the property.  Understanding the nuances of Section 413, its interpretation by the courts, and its significance within the broader context of property offenses under the IPC is vital for law enforcement, legal professionals, and anyone concerned with maintaining a secure and just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