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427</w:t>
      </w:r>
    </w:p>
    <w:p>
      <w:r>
        <w:t>## Section 427 of the Indian Penal Code: Mischief causing damage to the amount of fifty rupees</w:t>
        <w:br/>
        <w:br/>
        <w:t>Section 427 of the Indian Penal Code (IPC) addresses the offense of mischief when the resultant damage or loss amounts to fifty rupees or more. This provision builds upon the general definition of mischief provided in Section 425 and enhances the punishment for cases involving more significant financial harm.  This comprehensive analysis will delve into the intricacies of Section 427, examining its key elements, exploring relevant judicial interpretations, clarifying its relationship with related provisions, and highlighting its significance in deterring property damage and providing redress for victims.</w:t>
        <w:br/>
        <w:br/>
        <w:t>**I. The Text of Section 427:**</w:t>
        <w:br/>
        <w:br/>
        <w:t>Section 427 of the IPC states: "Whoever commits mischief and thereby causes loss or damage to the amount of fifty rupees or upwards, shall be punished with imprisonment of either description for a term which may extend to two years, or with fine, or with both."</w:t>
        <w:br/>
        <w:br/>
        <w:br/>
        <w:t>**II. Understanding the Context of "Mischief":**</w:t>
        <w:br/>
        <w:br/>
        <w:t>Section 427 relies on the definition of "mischief" established in Section 425 of the IPC.  Section 425 states: "Whoever, with intent to cause, or knowing that he is likely to cause, wrongful loss or damage to the public or to any person, causes the destruction of any property, or any such change in any property or in the situation thereof as destroys or diminishes its value or utility, or affects it injuriously, commits “mischief”."  Therefore, to establish an offense under Section 427, the prosecution must first prove that the act constitutes mischief as defined in Section 425.</w:t>
        <w:br/>
        <w:br/>
        <w:br/>
        <w:t>**III. Dissecting the Elements of Section 427:**</w:t>
        <w:br/>
        <w:br/>
        <w:t>To secure a conviction under Section 427, the prosecution must prove the following elements beyond a reasonable doubt:</w:t>
        <w:br/>
        <w:br/>
        <w:br/>
        <w:t>**A. Commission of Mischief:**</w:t>
        <w:br/>
        <w:br/>
        <w:t>This element requires demonstrating that the accused committed "mischief" as defined in Section 425. This involves proving the intent to cause wrongful loss or damage, knowledge of the likelihood of causing such loss or damage, and the actual causation of destruction, diminution of value or utility, or injurious affection of property.</w:t>
        <w:br/>
        <w:br/>
        <w:br/>
        <w:t>**B. Loss or Damage to the Amount of Fifty Rupees or Upwards:**</w:t>
        <w:br/>
        <w:br/>
        <w:t>This element is specific to Section 427 and distinguishes it from the general offense of mischief under Section 426. The prosecution must prove that the mischief committed resulted in a quantifiable financial loss or damage of at least fifty rupees.  This monetary threshold sets a higher bar for prosecution under Section 427 and signifies that the offense is considered more serious due to the greater financial impact.</w:t>
        <w:br/>
        <w:br/>
        <w:t>**Determining the Amount of Loss or Damage:**</w:t>
        <w:br/>
        <w:br/>
        <w:t>The determination of the amount of loss or damage is crucial for applying Section 427.  Several factors are considered, including:</w:t>
        <w:br/>
        <w:br/>
        <w:t>* **Cost of repair or replacement:**  If the property can be repaired, the cost of repair is typically used to assess the damage. If the property is destroyed or beyond repair, the cost of replacing it with a similar item is considered.</w:t>
        <w:br/>
        <w:t>* **Diminution in value:** If the mischief results in a decrease in the market value of the property, this reduction is factored into the calculation of loss or damage.</w:t>
        <w:br/>
        <w:t>* **Loss of utility:** If the mischief impairs the usefulness of the property, the financial impact of this loss of utility is also taken into account.</w:t>
        <w:br/>
        <w:br/>
        <w:t>The assessment of loss or damage often requires expert testimony, such as from valuers, appraisers, or repair specialists, to provide a credible estimate.</w:t>
        <w:br/>
        <w:br/>
        <w:br/>
        <w:t>**IV. Judicial Interpretations:**</w:t>
        <w:br/>
        <w:br/>
        <w:t>Judicial pronouncements on Section 427 have emphasized the importance of accurately assessing the loss or damage.  The prosecution must provide sufficient evidence to establish that the loss or damage meets the threshold of fifty rupees. The courts have also clarified that the value of the property at the time of the mischief is the relevant factor, not its original purchase price or its potential future value.</w:t>
        <w:br/>
        <w:br/>
        <w:br/>
        <w:t>**V.  Relationship with Section 426 (Mischief):**</w:t>
        <w:br/>
        <w:br/>
        <w:t>Section 427 is essentially an aggravated form of the general mischief offense defined in Section 426.  If the loss or damage caused by mischief is less than fifty rupees, Section 426 is applied, with a lesser punishment.  If the loss or damage exceeds fifty rupees, Section 427 comes into play, with a more severe penalty.  This tiered approach allows for proportionate punishment based on the severity of the financial harm caused.</w:t>
        <w:br/>
        <w:br/>
        <w:br/>
        <w:t>**VI.  Relationship with Other Sections Related to Mischief:**</w:t>
        <w:br/>
        <w:br/>
        <w:t>Section 427 also intersects with other sections of the IPC that deal with specific forms of mischief:</w:t>
        <w:br/>
        <w:br/>
        <w:t>* **Section 428 (Mischief by killing or maiming animal of the value of ten rupees):** This section addresses mischief involving animals, with a specific monetary threshold.</w:t>
        <w:br/>
        <w:t>* **Section 429 (Mischief by killing or maiming cattle, etc., of the value of fifty rupees):** This section deals with mischief involving cattle or other valuable animals.</w:t>
        <w:br/>
        <w:t>* **Section 430 (Mischief by injury to works of irrigation or by wrongfully diverting water):** This section covers mischief related to irrigation systems.</w:t>
        <w:br/>
        <w:t>* **Section 435 (Mischief by fire or explosive substance with intent to cause damage to amount of one hundred or (in case of agricultural produce) ten rupees):** This section deals with mischief involving fire or explosives, with specific monetary thresholds.</w:t>
        <w:br/>
        <w:t>* **Sections 436-438 (Mischief by fire or explosive substance):** These sections address various forms of arson, which can also involve significant financial damage.</w:t>
        <w:br/>
        <w:br/>
        <w:t>The interplay between these sections requires careful consideration of the specific facts of each case to determine the most appropriate charge.</w:t>
        <w:br/>
        <w:br/>
        <w:br/>
        <w:t>**VII.  Significance and Implications:**</w:t>
        <w:br/>
        <w:br/>
        <w:t>Section 427 plays a vital role in protecting property rights and deterring individuals from engaging in acts of mischief that cause significant financial harm. The enhanced punishment for cases involving greater financial loss serves as a deterrent and underscores the seriousness of such offenses.  This provision also provides a legal framework for victims to seek redress and compensation for the damage suffered.</w:t>
        <w:br/>
        <w:br/>
        <w:br/>
        <w:t>**VIII.  Challenges in Prosecution:**</w:t>
        <w:br/>
        <w:br/>
        <w:t>Prosecuting cases under Section 427 can be challenging due to the need to accurately assess the loss or damage. This often involves expert testimony and detailed investigation to establish the monetary value of the harm caused.  Furthermore, as with all mischief offenses, proving the intent or knowledge element can be complex and requires careful presentation of evidence.</w:t>
        <w:br/>
        <w:br/>
        <w:br/>
        <w:t>**IX.  Preventive Measures:**</w:t>
        <w:br/>
        <w:br/>
        <w:t>Preventive measures against mischief include:</w:t>
        <w:br/>
        <w:br/>
        <w:t>* **Security measures:**  Implementing security systems, such as alarms, cameras, and fences, can deter potential offenders.</w:t>
        <w:br/>
        <w:t>* **Property insurance:**  Obtaining adequate insurance coverage can help mitigate the financial impact of mischief.</w:t>
        <w:br/>
        <w:t>* **Community policing:** Increased police presence and community involvement can help prevent acts of vandalism and other forms of mischief.</w:t>
        <w:br/>
        <w:br/>
        <w:br/>
        <w:t>**X.  Conclusion:**</w:t>
        <w:br/>
        <w:br/>
        <w:t>Section 427 of the IPC is a crucial provision for addressing mischief that results in significant financial loss or damage.  By enhancing the punishment for such offenses, this section strengthens the protection of property rights and deters individuals from engaging in destructive acts.  Effective enforcement of this provision requires thorough investigation, accurate assessment of damages, and clear presentation of evidence.  Understanding the nuances of Section 427 and its relationship with related provisions is essential for both prosecuting and defending against such charges. This provision contributes significantly to maintaining public order and ensuring that individuals are held accountable for their actions.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