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440</w:t>
      </w:r>
    </w:p>
    <w:p>
      <w:r>
        <w:t>## IPC Section 440: Mischief committed after preparation made for causing death or hurt</w:t>
        <w:br/>
        <w:br/>
        <w:t>Section 440 of the Indian Penal Code (IPC) deals with the aggravated form of mischief committed after preparations have been made for causing death or hurt. This section recognizes the heightened threat and potential for violence associated with such acts, even if the intended death or hurt doesn't actually occur. The preparation itself, when coupled with the act of mischief, signifies a greater degree of criminality and warrants a more severe punishment than simple mischief.</w:t>
        <w:br/>
        <w:br/>
        <w:t>**Detailed Analysis of Section 440:**</w:t>
        <w:br/>
        <w:br/>
        <w:t>To understand the scope and implications of Section 440, let's analyze its key components:</w:t>
        <w:br/>
        <w:br/>
        <w:t>**1. "Mischief":**</w:t>
        <w:br/>
        <w:br/>
        <w:t>As with other sections related to mischief, Section 440 has its roots in the general concept of "mischief" defined in Section 425 of the IPC.  Mischief broadly refers to any intentional act causing wrongful loss or damage to the property of another. Section 440 builds upon this foundation, focusing on mischief committed in a context of premeditation and potential violence.</w:t>
        <w:br/>
        <w:br/>
        <w:t>**2. "Committed after preparation made for causing death or hurt":**</w:t>
        <w:br/>
        <w:br/>
        <w:t>This crucial phrase highlights the aggravating factor that distinguishes Section 440 from simpler forms of mischief. The mischief must be committed *after* preparations have been made for causing death or hurt. This implies a sequence of events:</w:t>
        <w:br/>
        <w:br/>
        <w:t>* **Preparation for causing death or hurt:**  This involves taking concrete steps towards inflicting death or injury upon another person.  This preparation doesn't have to be elaborate or complete; it's sufficient if the accused has taken steps that clearly demonstrate their intention to cause harm.  Examples include:</w:t>
        <w:br/>
        <w:t xml:space="preserve">    * Procuring weapons, such as knives, guns, or explosives.</w:t>
        <w:br/>
        <w:t xml:space="preserve">    * Gathering materials to create harmful devices, like Molotov cocktails.</w:t>
        <w:br/>
        <w:t xml:space="preserve">    * Laying a trap or ambush.</w:t>
        <w:br/>
        <w:t xml:space="preserve">    * Assembling a group of people to inflict violence.</w:t>
        <w:br/>
        <w:t>* **Mischief:**  Following the preparations for causing death or hurt, the accused must commit an act of mischief. This could involve damaging or destroying property, as defined in the general section on mischief (Section 425).</w:t>
        <w:br/>
        <w:br/>
        <w:t>The connection between the preparation and the act of mischief is crucial.  The mischief should be seen as part of a larger plan or scheme involving the potential for violence.  It's not necessary that the intended death or hurt actually occurs.  The preparation itself, combined with the act of mischief, is sufficient to constitute the offence.</w:t>
        <w:br/>
        <w:br/>
        <w:t>**The "Nexus" between Preparation and Mischief:**</w:t>
        <w:br/>
        <w:br/>
        <w:t>The critical element for establishing an offence under Section 440 is demonstrating a clear link or "nexus" between the preparation for causing death or hurt and the subsequent act of mischief.  The mischief should not be an isolated incident unrelated to the prior preparations.  The prosecution must demonstrate that the mischief was committed in the context of the preparations, suggesting a potential escalation to violence had the circumstances been different.</w:t>
        <w:br/>
        <w:br/>
        <w:t>Various factors can help establish this nexus, including:</w:t>
        <w:br/>
        <w:br/>
        <w:t>* **Timing:**  The proximity in time between the preparations and the mischief.  If the mischief occurs shortly after the preparations, it strengthens the connection.</w:t>
        <w:br/>
        <w:t>* **Location:** The proximity in location between the preparations and the mischief.  If the mischief occurs at or near the place where the preparations were made, it reinforces the link.</w:t>
        <w:br/>
        <w:t>* **Nature of the mischief:**  The type of mischief committed. If the mischief is of a nature that could facilitate or mask the intended violence, it strengthens the connection.</w:t>
        <w:br/>
        <w:t>* **Statements or conduct of the accused:**  Any statements made or actions taken by the accused before, during, or after the events can shed light on their intentions and the connection between the preparation and the mischief.</w:t>
        <w:br/>
        <w:t>* **Circumstantial evidence:**  The overall circumstances surrounding the events can help establish the nexus, even in the absence of direct evidence.</w:t>
        <w:br/>
        <w:br/>
        <w:br/>
        <w:br/>
        <w:t>**Punishment under Section 440:**</w:t>
        <w:br/>
        <w:br/>
        <w:t>Section 440 prescribes a punishment of imprisonment of either description for a term which may extend to ten years, and shall also be liable to fine. This significantly harsher penalty compared to simple mischief underscores the gravity of the offence and the potential for violence associated with the preparatory acts.</w:t>
        <w:br/>
        <w:br/>
        <w:br/>
        <w:t>**Difference between Section 440 and other sections related to Mischief:**</w:t>
        <w:br/>
        <w:br/>
        <w:t>Section 440 differentiates itself from the general mischief section and other specific mischief offences by its emphasis on:</w:t>
        <w:br/>
        <w:br/>
        <w:t>* **Preparation for causing death or hurt:** This preparatory act is the key element that elevates the offence to a more serious category.</w:t>
        <w:br/>
        <w:t>* **Potential for violence:** While the actual infliction of death or hurt isn't required, the preparation for such violence signifies a greater degree of criminality.</w:t>
        <w:br/>
        <w:t>* **Enhanced punishment:** The more severe penalty reflects the heightened threat and potential consequences associated with this type of mischief.</w:t>
        <w:br/>
        <w:br/>
        <w:t>For instance, if someone damages property without any prior preparation for causing death or hurt, they might be charged under a lesser mischief section.  However, if the same act of mischief is committed after preparations for violence, Section 440 applies, even if no actual violence occurs.</w:t>
        <w:br/>
        <w:br/>
        <w:br/>
        <w:t>**Illustrations:**</w:t>
        <w:br/>
        <w:br/>
        <w:t>* A group of individuals gathers weapons and plans to attack a rival gang. Before carrying out the attack, they damage vehicles belonging to members of the rival gang as a warning.  This falls under Section 440.</w:t>
        <w:br/>
        <w:t>*  A person procures explosives with the intent to bomb a building.  Before detonating the explosives, they damage the building's security cameras to disable surveillance. This constitutes an offence under Section 440.</w:t>
        <w:br/>
        <w:t>* A disgruntled employee plans to attack their boss. Before carrying out the attack, they damage their boss's computer and office equipment to cause financial harm and emotional distress. This can also fall within the purview of Section 440, depending on the specific circumstances and the prosecution's ability to prove the link between the preparation and the mischief.</w:t>
        <w:br/>
        <w:br/>
        <w:br/>
        <w:t>**Landmark Case Laws related to Section 440:**</w:t>
        <w:br/>
        <w:br/>
        <w:t>While specific case laws may vary based on jurisdiction and specific facts, judicial interpretations often focus on:</w:t>
        <w:br/>
        <w:br/>
        <w:t>* **Proof of preparation:**  The prosecution must demonstrate that the accused made actual preparations for causing death or hurt.  Mere threats or expressions of intent are insufficient.</w:t>
        <w:br/>
        <w:t>* **Nexus between preparation and mischief:**  A clear link between the preparation for violence and the subsequent act of mischief must be established.</w:t>
        <w:br/>
        <w:t>* **Intent behind the mischief:** The prosecution needs to demonstrate that the mischief was committed in the context of the preparations for violence, not as an isolated incident.</w:t>
        <w:br/>
        <w:br/>
        <w:t>**Importance of Section 440:**</w:t>
        <w:br/>
        <w:br/>
        <w:t>Section 440 plays a crucial role in preventing escalation of violence and protecting individuals and property by criminalizing acts of mischief committed in a context of preparation for causing death or hurt.  The enhanced penalties prescribed under this section deter such acts and reflect the importance of addressing the potential for violence even before it manifests physically.</w:t>
        <w:br/>
        <w:br/>
        <w:br/>
        <w:t>**Conclusion:**</w:t>
        <w:br/>
        <w:br/>
        <w:t>Section 440 of the IPC provides a vital legal framework for addressing the aggravated form of mischief committed after preparations have been made for causing death or hurt. By focusing on the preparatory act and its connection to the subsequent mischief, and by prescribing a stringent punishment, it acts as a deterrent and emphasizes the societal importance of preventing escalation of violence and protecting individuals and property from harm. Understanding the nuances of Section 440 is crucial for both legal professionals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